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D001" w14:textId="77777777" w:rsidR="00A26D5B" w:rsidRDefault="00A26D5B" w:rsidP="002A39B3">
      <w:pPr>
        <w:pStyle w:val="BearingPointTitle-Level1"/>
        <w:spacing w:after="0"/>
        <w:rPr>
          <w:rFonts w:ascii="Arial" w:hAnsi="Arial" w:cs="Arial"/>
          <w:color w:val="002060"/>
          <w:u w:val="none"/>
        </w:rPr>
      </w:pPr>
      <w:r w:rsidRPr="00B70F7E">
        <w:rPr>
          <w:rFonts w:ascii="Arial" w:hAnsi="Arial" w:cs="Arial"/>
          <w:color w:val="002060"/>
          <w:u w:val="none"/>
        </w:rPr>
        <w:t>expression of interest</w:t>
      </w:r>
      <w:r w:rsidR="00B70F7E">
        <w:rPr>
          <w:rFonts w:ascii="Arial" w:hAnsi="Arial" w:cs="Arial"/>
          <w:color w:val="002060"/>
          <w:u w:val="none"/>
        </w:rPr>
        <w:t xml:space="preserve"> (EOI)</w:t>
      </w:r>
    </w:p>
    <w:p w14:paraId="3C3694C6" w14:textId="77777777" w:rsidR="00000E54" w:rsidRDefault="00000E54" w:rsidP="002A39B3">
      <w:pPr>
        <w:pStyle w:val="BearingPointTitle-Level1"/>
        <w:spacing w:after="0"/>
        <w:rPr>
          <w:rFonts w:ascii="Arial" w:hAnsi="Arial" w:cs="Arial"/>
          <w:color w:val="002060"/>
          <w:u w:val="none"/>
        </w:rPr>
      </w:pPr>
    </w:p>
    <w:p w14:paraId="3F3359AD" w14:textId="71D5493D" w:rsidR="009B34ED" w:rsidRDefault="009B34ED" w:rsidP="002A39B3">
      <w:pPr>
        <w:pStyle w:val="BearingPointTitle-Level1"/>
        <w:spacing w:after="0"/>
        <w:rPr>
          <w:rFonts w:ascii="Arial" w:hAnsi="Arial" w:cs="Arial"/>
          <w:color w:val="002060"/>
          <w:u w:val="none"/>
        </w:rPr>
      </w:pPr>
      <w:r>
        <w:rPr>
          <w:rFonts w:ascii="Arial" w:hAnsi="Arial" w:cs="Arial"/>
          <w:color w:val="002060"/>
          <w:u w:val="none"/>
        </w:rPr>
        <w:t>EOI-DAI-AVC-HVC-18-001</w:t>
      </w:r>
    </w:p>
    <w:p w14:paraId="14F644AD" w14:textId="1EB61CD9" w:rsidR="00C73F22" w:rsidRPr="00B70F7E" w:rsidRDefault="00C73F22" w:rsidP="002A39B3">
      <w:pPr>
        <w:pStyle w:val="BearingPointTitle-Level1"/>
        <w:spacing w:after="0"/>
        <w:rPr>
          <w:color w:val="002060"/>
          <w:sz w:val="24"/>
          <w:szCs w:val="24"/>
          <w:u w:val="none"/>
        </w:rPr>
      </w:pPr>
      <w:r w:rsidRPr="009B34ED">
        <w:rPr>
          <w:rFonts w:ascii="Arial" w:hAnsi="Arial" w:cs="Arial"/>
          <w:color w:val="002060"/>
          <w:u w:val="none"/>
        </w:rPr>
        <w:t>(</w:t>
      </w:r>
      <w:bookmarkStart w:id="0" w:name="_GoBack"/>
      <w:r w:rsidR="009B34ED" w:rsidRPr="009B34ED">
        <w:rPr>
          <w:rFonts w:ascii="Arial" w:hAnsi="Arial" w:cs="Arial"/>
          <w:color w:val="002060"/>
          <w:u w:val="none"/>
        </w:rPr>
        <w:t>ICT Service</w:t>
      </w:r>
      <w:r w:rsidR="009B34ED">
        <w:rPr>
          <w:rFonts w:ascii="Arial" w:hAnsi="Arial" w:cs="Arial"/>
          <w:color w:val="002060"/>
          <w:u w:val="none"/>
        </w:rPr>
        <w:t xml:space="preserve"> – Software maintenance</w:t>
      </w:r>
      <w:bookmarkEnd w:id="0"/>
      <w:r w:rsidRPr="009B34ED">
        <w:rPr>
          <w:rFonts w:ascii="Arial" w:hAnsi="Arial" w:cs="Arial"/>
          <w:color w:val="002060"/>
          <w:u w:val="none"/>
        </w:rPr>
        <w:t>)</w:t>
      </w:r>
    </w:p>
    <w:p w14:paraId="46B56508" w14:textId="77777777" w:rsidR="005343EE" w:rsidRPr="00B70F7E" w:rsidRDefault="005343EE" w:rsidP="00B70F7E">
      <w:pPr>
        <w:spacing w:after="0"/>
        <w:jc w:val="left"/>
        <w:rPr>
          <w:bCs/>
        </w:rPr>
      </w:pPr>
    </w:p>
    <w:p w14:paraId="37F1C8FC" w14:textId="3BE52B2D" w:rsidR="00E46D2F" w:rsidRDefault="00A30985" w:rsidP="00533F84">
      <w:pPr>
        <w:spacing w:after="0"/>
        <w:jc w:val="left"/>
        <w:rPr>
          <w:color w:val="000000"/>
        </w:rPr>
      </w:pPr>
      <w:r>
        <w:rPr>
          <w:color w:val="000000"/>
        </w:rPr>
        <w:t>DAI</w:t>
      </w:r>
      <w:r w:rsidR="00000E54">
        <w:rPr>
          <w:color w:val="000000"/>
        </w:rPr>
        <w:t xml:space="preserve"> </w:t>
      </w:r>
      <w:r w:rsidR="00B61A76" w:rsidRPr="00533F84">
        <w:rPr>
          <w:color w:val="000000"/>
        </w:rPr>
        <w:t>is issuing this Expression of Interest</w:t>
      </w:r>
      <w:r w:rsidR="00C73F22">
        <w:rPr>
          <w:color w:val="000000"/>
        </w:rPr>
        <w:t xml:space="preserve"> (EOI)</w:t>
      </w:r>
      <w:r w:rsidR="00B61A76" w:rsidRPr="00533F84">
        <w:rPr>
          <w:color w:val="000000"/>
        </w:rPr>
        <w:t xml:space="preserve"> for </w:t>
      </w:r>
      <w:r w:rsidR="009B34ED">
        <w:rPr>
          <w:color w:val="000000"/>
        </w:rPr>
        <w:t xml:space="preserve">AVC-HVC project </w:t>
      </w:r>
      <w:r w:rsidR="00B61A76" w:rsidRPr="00533F84">
        <w:rPr>
          <w:color w:val="000000"/>
        </w:rPr>
        <w:t>located at</w:t>
      </w:r>
      <w:r w:rsidR="009B34ED">
        <w:rPr>
          <w:color w:val="000000"/>
        </w:rPr>
        <w:t xml:space="preserve"> Darya Village, Kabul, Afghanistan. </w:t>
      </w:r>
      <w:r w:rsidR="00B61A76" w:rsidRPr="00533F84">
        <w:rPr>
          <w:color w:val="000000"/>
        </w:rPr>
        <w:t>The work will include</w:t>
      </w:r>
      <w:r w:rsidR="00E46D2F">
        <w:rPr>
          <w:color w:val="000000"/>
        </w:rPr>
        <w:t>:</w:t>
      </w:r>
    </w:p>
    <w:p w14:paraId="51B846A9" w14:textId="77777777" w:rsidR="00E46D2F" w:rsidRDefault="00E46D2F" w:rsidP="00533F84">
      <w:pPr>
        <w:spacing w:after="0"/>
        <w:jc w:val="left"/>
        <w:rPr>
          <w:color w:val="000000"/>
        </w:rPr>
      </w:pPr>
    </w:p>
    <w:p w14:paraId="25C57B1C" w14:textId="59EBD1C8" w:rsidR="009B34ED" w:rsidRPr="009B34ED" w:rsidRDefault="009B34ED" w:rsidP="00224F45">
      <w:pPr>
        <w:spacing w:after="0"/>
        <w:jc w:val="left"/>
      </w:pPr>
      <w:r w:rsidRPr="009B34ED">
        <w:t xml:space="preserve">Provide ICT services to </w:t>
      </w:r>
      <w:r>
        <w:t xml:space="preserve">ensure the functionality of eProd supplier management software that used by AVC-HVC partner companies across the country. </w:t>
      </w:r>
    </w:p>
    <w:p w14:paraId="114726C0" w14:textId="77777777" w:rsidR="00E46D2F" w:rsidRDefault="00E46D2F" w:rsidP="00224F45">
      <w:pPr>
        <w:spacing w:after="0"/>
        <w:jc w:val="left"/>
        <w:rPr>
          <w:color w:val="000000"/>
        </w:rPr>
      </w:pPr>
    </w:p>
    <w:p w14:paraId="71A641FA" w14:textId="4C799C6D" w:rsidR="00C73F22" w:rsidRDefault="00A22EEE" w:rsidP="00C73F22">
      <w:pPr>
        <w:spacing w:after="0"/>
        <w:jc w:val="left"/>
      </w:pPr>
      <w:r>
        <w:rPr>
          <w:color w:val="000000"/>
        </w:rPr>
        <w:t xml:space="preserve">This </w:t>
      </w:r>
      <w:r w:rsidR="005343EE">
        <w:rPr>
          <w:color w:val="000000"/>
        </w:rPr>
        <w:t>document pre</w:t>
      </w:r>
      <w:r w:rsidR="00F1416C">
        <w:rPr>
          <w:color w:val="000000"/>
        </w:rPr>
        <w:t>sents</w:t>
      </w:r>
      <w:r w:rsidR="00944173">
        <w:rPr>
          <w:color w:val="000000"/>
        </w:rPr>
        <w:t xml:space="preserve"> the</w:t>
      </w:r>
      <w:r w:rsidR="00F1416C">
        <w:rPr>
          <w:color w:val="000000"/>
        </w:rPr>
        <w:t xml:space="preserve"> </w:t>
      </w:r>
      <w:r w:rsidR="00E10D04">
        <w:rPr>
          <w:color w:val="000000"/>
        </w:rPr>
        <w:t>requirements</w:t>
      </w:r>
      <w:r w:rsidR="00B61A76">
        <w:rPr>
          <w:color w:val="000000"/>
        </w:rPr>
        <w:t xml:space="preserve"> that </w:t>
      </w:r>
      <w:r w:rsidR="00C73F22">
        <w:rPr>
          <w:color w:val="000000"/>
        </w:rPr>
        <w:t xml:space="preserve">interested </w:t>
      </w:r>
      <w:r w:rsidR="00B61A76">
        <w:rPr>
          <w:color w:val="000000"/>
        </w:rPr>
        <w:t>vendors</w:t>
      </w:r>
      <w:r w:rsidR="00B04747">
        <w:rPr>
          <w:color w:val="000000"/>
        </w:rPr>
        <w:t xml:space="preserve"> must </w:t>
      </w:r>
      <w:r w:rsidR="00944173">
        <w:rPr>
          <w:color w:val="000000"/>
        </w:rPr>
        <w:t>provide</w:t>
      </w:r>
      <w:r w:rsidR="00B04747">
        <w:rPr>
          <w:color w:val="000000"/>
        </w:rPr>
        <w:t xml:space="preserve"> </w:t>
      </w:r>
      <w:r w:rsidR="00944173">
        <w:rPr>
          <w:color w:val="000000"/>
        </w:rPr>
        <w:t>to be invited to submit</w:t>
      </w:r>
      <w:r w:rsidR="009C6F0E">
        <w:rPr>
          <w:color w:val="000000"/>
        </w:rPr>
        <w:t xml:space="preserve"> </w:t>
      </w:r>
      <w:r w:rsidR="00944173">
        <w:rPr>
          <w:color w:val="000000"/>
        </w:rPr>
        <w:t>their d</w:t>
      </w:r>
      <w:r w:rsidR="00C73F22">
        <w:rPr>
          <w:color w:val="000000"/>
        </w:rPr>
        <w:t>etailed quotations or technical/cost proposals for procurement opportunities anticipated</w:t>
      </w:r>
      <w:r w:rsidR="00B04747">
        <w:rPr>
          <w:color w:val="000000"/>
        </w:rPr>
        <w:t xml:space="preserve"> by </w:t>
      </w:r>
      <w:r w:rsidR="00B61A76">
        <w:rPr>
          <w:color w:val="000000"/>
        </w:rPr>
        <w:t>DAI</w:t>
      </w:r>
      <w:r w:rsidR="00B04747">
        <w:rPr>
          <w:color w:val="000000"/>
        </w:rPr>
        <w:t>.</w:t>
      </w:r>
      <w:r w:rsidR="009130A1">
        <w:rPr>
          <w:color w:val="000000"/>
        </w:rPr>
        <w:t xml:space="preserve"> </w:t>
      </w:r>
      <w:r w:rsidR="00944173">
        <w:rPr>
          <w:color w:val="000000"/>
        </w:rPr>
        <w:t>P</w:t>
      </w:r>
      <w:r w:rsidR="00C73F22">
        <w:t>re-qualified vendors may be invited to respond to a solicitation</w:t>
      </w:r>
      <w:r w:rsidR="00E46D2F">
        <w:t>, and/or multiple solicitations</w:t>
      </w:r>
      <w:r w:rsidR="00944173">
        <w:t>.</w:t>
      </w:r>
    </w:p>
    <w:p w14:paraId="123E16CC" w14:textId="77777777" w:rsidR="00C73F22" w:rsidRDefault="00C73F22" w:rsidP="00C73F22">
      <w:pPr>
        <w:spacing w:after="0"/>
        <w:jc w:val="left"/>
      </w:pPr>
    </w:p>
    <w:p w14:paraId="72FD5710" w14:textId="35F978DB" w:rsidR="009130A1" w:rsidRDefault="00B61A76" w:rsidP="009130A1">
      <w:pPr>
        <w:spacing w:after="0"/>
        <w:jc w:val="left"/>
        <w:rPr>
          <w:color w:val="000000"/>
        </w:rPr>
      </w:pPr>
      <w:r>
        <w:rPr>
          <w:color w:val="000000"/>
        </w:rPr>
        <w:t xml:space="preserve">Vendors must be </w:t>
      </w:r>
      <w:r w:rsidR="009130A1">
        <w:rPr>
          <w:color w:val="000000"/>
        </w:rPr>
        <w:t>licensed</w:t>
      </w:r>
      <w:r w:rsidR="0066794A">
        <w:rPr>
          <w:color w:val="000000"/>
        </w:rPr>
        <w:t xml:space="preserve"> and legally </w:t>
      </w:r>
      <w:r w:rsidR="000533D3">
        <w:rPr>
          <w:color w:val="000000"/>
        </w:rPr>
        <w:t>registered</w:t>
      </w:r>
      <w:r w:rsidR="009130A1">
        <w:rPr>
          <w:color w:val="000000"/>
        </w:rPr>
        <w:t xml:space="preserve"> businesses, </w:t>
      </w:r>
      <w:r w:rsidR="00C73F22">
        <w:rPr>
          <w:color w:val="000000"/>
        </w:rPr>
        <w:t>organizations</w:t>
      </w:r>
      <w:r w:rsidR="009130A1">
        <w:rPr>
          <w:color w:val="000000"/>
        </w:rPr>
        <w:t xml:space="preserve">, </w:t>
      </w:r>
      <w:r>
        <w:rPr>
          <w:color w:val="000000"/>
        </w:rPr>
        <w:t xml:space="preserve">or </w:t>
      </w:r>
      <w:r w:rsidR="009130A1">
        <w:rPr>
          <w:color w:val="000000"/>
        </w:rPr>
        <w:t>firms. Individual consultants will not be considered for this EOI.</w:t>
      </w:r>
    </w:p>
    <w:p w14:paraId="7C020189" w14:textId="77777777" w:rsidR="005343EE" w:rsidRPr="00B04747" w:rsidRDefault="005343EE" w:rsidP="00B04747">
      <w:pPr>
        <w:spacing w:after="0"/>
      </w:pPr>
    </w:p>
    <w:p w14:paraId="7401E75E" w14:textId="70A4B7EC" w:rsidR="00C73F22" w:rsidRDefault="005343EE" w:rsidP="00B04747">
      <w:pPr>
        <w:autoSpaceDE w:val="0"/>
        <w:autoSpaceDN w:val="0"/>
        <w:adjustRightInd w:val="0"/>
        <w:spacing w:after="0"/>
        <w:jc w:val="left"/>
      </w:pPr>
      <w:r w:rsidRPr="00B04747">
        <w:t xml:space="preserve">The purpose of this </w:t>
      </w:r>
      <w:r w:rsidR="00B43483" w:rsidRPr="00B04747">
        <w:t>Expression of Interest</w:t>
      </w:r>
      <w:r w:rsidRPr="00B04747">
        <w:t xml:space="preserve"> (</w:t>
      </w:r>
      <w:r w:rsidR="00B43483" w:rsidRPr="00B04747">
        <w:t>EOI</w:t>
      </w:r>
      <w:r w:rsidRPr="00B04747">
        <w:t xml:space="preserve">) is to </w:t>
      </w:r>
      <w:r w:rsidR="00543289">
        <w:t>pre-</w:t>
      </w:r>
      <w:r w:rsidR="00B04747">
        <w:t>qualify specialized</w:t>
      </w:r>
      <w:r w:rsidR="00F1416C" w:rsidRPr="00B04747">
        <w:t xml:space="preserve"> </w:t>
      </w:r>
      <w:r w:rsidR="00B61A76">
        <w:t>vendors</w:t>
      </w:r>
      <w:r w:rsidR="00C73F22">
        <w:t xml:space="preserve"> </w:t>
      </w:r>
      <w:r w:rsidR="0066794A">
        <w:t>who have</w:t>
      </w:r>
      <w:r w:rsidR="00C73F22">
        <w:t xml:space="preserve"> experience providing goods or services in the following specialized areas:</w:t>
      </w:r>
      <w:r w:rsidR="008A4560">
        <w:t xml:space="preserve"> </w:t>
      </w:r>
    </w:p>
    <w:p w14:paraId="7A30D0EB" w14:textId="679935F8" w:rsidR="008A4560" w:rsidRDefault="006032DF" w:rsidP="00B04747">
      <w:pPr>
        <w:autoSpaceDE w:val="0"/>
        <w:autoSpaceDN w:val="0"/>
        <w:adjustRightInd w:val="0"/>
        <w:spacing w:after="0"/>
        <w:jc w:val="left"/>
      </w:pPr>
      <w:r>
        <w:t>ICT support services including but not limited to hardware repair and software maintenance.</w:t>
      </w:r>
    </w:p>
    <w:p w14:paraId="4CF445D3" w14:textId="77777777" w:rsidR="001A6F19" w:rsidRPr="00533F84" w:rsidRDefault="001A6F19" w:rsidP="00A30985">
      <w:pPr>
        <w:pStyle w:val="Heading2"/>
        <w:numPr>
          <w:ilvl w:val="0"/>
          <w:numId w:val="0"/>
        </w:numPr>
        <w:spacing w:before="0" w:after="0"/>
        <w:jc w:val="left"/>
        <w:rPr>
          <w:color w:val="002060"/>
          <w:sz w:val="24"/>
          <w:szCs w:val="24"/>
        </w:rPr>
      </w:pPr>
    </w:p>
    <w:p w14:paraId="52278CB6" w14:textId="77777777" w:rsidR="005343EE" w:rsidRPr="00533F84" w:rsidRDefault="005343EE" w:rsidP="00A5449C">
      <w:pPr>
        <w:pStyle w:val="Heading2"/>
        <w:numPr>
          <w:ilvl w:val="0"/>
          <w:numId w:val="0"/>
        </w:numPr>
        <w:spacing w:before="0"/>
        <w:ind w:left="576" w:hanging="576"/>
        <w:jc w:val="left"/>
        <w:rPr>
          <w:color w:val="002060"/>
          <w:sz w:val="24"/>
          <w:szCs w:val="24"/>
        </w:rPr>
      </w:pPr>
      <w:bookmarkStart w:id="1" w:name="_Toc496929135"/>
      <w:bookmarkStart w:id="2" w:name="_Toc498512182"/>
      <w:bookmarkStart w:id="3" w:name="_Toc284579642"/>
      <w:r w:rsidRPr="00533F84">
        <w:rPr>
          <w:color w:val="002060"/>
          <w:sz w:val="24"/>
          <w:szCs w:val="24"/>
        </w:rPr>
        <w:t>Response Submission Deadline</w:t>
      </w:r>
      <w:bookmarkEnd w:id="1"/>
      <w:bookmarkEnd w:id="2"/>
      <w:bookmarkEnd w:id="3"/>
      <w:r w:rsidR="00533F84">
        <w:rPr>
          <w:color w:val="002060"/>
          <w:sz w:val="24"/>
          <w:szCs w:val="24"/>
        </w:rPr>
        <w:t xml:space="preserve"> and Communication protocol</w:t>
      </w:r>
    </w:p>
    <w:p w14:paraId="524E12E2" w14:textId="519D2E5D" w:rsidR="005343EE" w:rsidRDefault="005343EE" w:rsidP="001A6F19">
      <w:pPr>
        <w:spacing w:after="0"/>
        <w:jc w:val="left"/>
        <w:rPr>
          <w:rFonts w:cs="Tahoma"/>
          <w:u w:val="single"/>
        </w:rPr>
      </w:pPr>
      <w:r>
        <w:t xml:space="preserve">The deadline for responding to this </w:t>
      </w:r>
      <w:r w:rsidR="00B43483">
        <w:t>EOI</w:t>
      </w:r>
      <w:r>
        <w:t xml:space="preserve"> is </w:t>
      </w:r>
      <w:r w:rsidR="006032DF">
        <w:t>December 2</w:t>
      </w:r>
      <w:r w:rsidR="006032DF" w:rsidRPr="006032DF">
        <w:rPr>
          <w:vertAlign w:val="superscript"/>
        </w:rPr>
        <w:t>nd</w:t>
      </w:r>
      <w:r w:rsidR="006032DF">
        <w:t xml:space="preserve"> 2018 </w:t>
      </w:r>
      <w:r w:rsidRPr="001A6F19">
        <w:t>at</w:t>
      </w:r>
      <w:r w:rsidR="006032DF">
        <w:t xml:space="preserve"> 4:00 PM Kabul Time. Resp</w:t>
      </w:r>
      <w:r>
        <w:t>onse</w:t>
      </w:r>
      <w:r w:rsidR="001A6F19">
        <w:t>s</w:t>
      </w:r>
      <w:r>
        <w:t xml:space="preserve"> received after </w:t>
      </w:r>
      <w:r w:rsidR="001A6F19">
        <w:t>the</w:t>
      </w:r>
      <w:r w:rsidR="006032DF">
        <w:t xml:space="preserve"> deadline may</w:t>
      </w:r>
      <w:r>
        <w:t xml:space="preserve"> not </w:t>
      </w:r>
      <w:r w:rsidR="003D20B3">
        <w:t>be</w:t>
      </w:r>
      <w:r>
        <w:t xml:space="preserve"> reviewed and will </w:t>
      </w:r>
      <w:r w:rsidR="003D20B3">
        <w:t>be</w:t>
      </w:r>
      <w:r>
        <w:t xml:space="preserve"> </w:t>
      </w:r>
      <w:r w:rsidR="0095075D">
        <w:t>discarded</w:t>
      </w:r>
      <w:r w:rsidR="004D157B">
        <w:t xml:space="preserve"> by DAI</w:t>
      </w:r>
      <w:r w:rsidR="00C73F22">
        <w:t>, subject to the discretion of the project’s management</w:t>
      </w:r>
      <w:r w:rsidR="004D157B">
        <w:t>.</w:t>
      </w:r>
      <w:r>
        <w:t xml:space="preserve">  Response</w:t>
      </w:r>
      <w:r w:rsidR="001A6F19">
        <w:t>s</w:t>
      </w:r>
      <w:r>
        <w:t xml:space="preserve"> </w:t>
      </w:r>
      <w:r w:rsidR="00C73F22">
        <w:t>may</w:t>
      </w:r>
      <w:r>
        <w:t xml:space="preserve"> </w:t>
      </w:r>
      <w:r w:rsidR="003D20B3">
        <w:t>be</w:t>
      </w:r>
      <w:r>
        <w:t xml:space="preserve"> </w:t>
      </w:r>
      <w:r w:rsidR="004D157B">
        <w:t>emailed</w:t>
      </w:r>
      <w:r>
        <w:t xml:space="preserve"> </w:t>
      </w:r>
      <w:hyperlink r:id="rId11" w:history="1"/>
      <w:r w:rsidR="001D683E">
        <w:t xml:space="preserve"> </w:t>
      </w:r>
      <w:r w:rsidR="001A6F19">
        <w:t>to</w:t>
      </w:r>
      <w:r w:rsidR="006032DF">
        <w:t xml:space="preserve"> </w:t>
      </w:r>
      <w:hyperlink r:id="rId12" w:history="1">
        <w:r w:rsidR="006032DF" w:rsidRPr="001C1BD0">
          <w:rPr>
            <w:rStyle w:val="Hyperlink"/>
          </w:rPr>
          <w:t>avc-c_procurementinbox@dai.com</w:t>
        </w:r>
      </w:hyperlink>
      <w:r w:rsidR="006032DF">
        <w:t xml:space="preserve"> </w:t>
      </w:r>
      <w:r w:rsidR="00C73F22">
        <w:t xml:space="preserve">or delivered in a sealed envelope to project </w:t>
      </w:r>
      <w:r w:rsidR="006032DF">
        <w:t>at Darya Village, Kabul.</w:t>
      </w:r>
      <w:r w:rsidR="00C73F22">
        <w:t xml:space="preserve"> Please address the subject of the email, or on the sealed envelope “</w:t>
      </w:r>
      <w:r w:rsidR="004965F1">
        <w:t>EOI-DAI-AVC-HVC-18-001-ICT Services”</w:t>
      </w:r>
    </w:p>
    <w:p w14:paraId="1837501B" w14:textId="77777777" w:rsidR="00B61A76" w:rsidRDefault="00B61A76" w:rsidP="001A6F19">
      <w:pPr>
        <w:spacing w:after="0"/>
        <w:jc w:val="left"/>
        <w:rPr>
          <w:rFonts w:cs="Tahoma"/>
          <w:u w:val="single"/>
        </w:rPr>
      </w:pPr>
    </w:p>
    <w:p w14:paraId="1D08D3C8" w14:textId="0786891C" w:rsidR="00372BCD" w:rsidRDefault="00011A0E" w:rsidP="00E65115">
      <w:pPr>
        <w:spacing w:after="0"/>
        <w:jc w:val="left"/>
      </w:pPr>
      <w:r>
        <w:t xml:space="preserve">DAI will only respond to written questions regarding this EOI through the email address: </w:t>
      </w:r>
      <w:r w:rsidR="004965F1">
        <w:t>avc-c_procurement@dail.com</w:t>
      </w:r>
      <w:r w:rsidR="00B61A76">
        <w:t xml:space="preserve"> and any questions must be submitted by </w:t>
      </w:r>
      <w:r w:rsidR="004965F1">
        <w:t>November 29 4:00pm Kabul Time.</w:t>
      </w:r>
    </w:p>
    <w:p w14:paraId="76B16D6E" w14:textId="77777777" w:rsidR="00372BCD" w:rsidRDefault="00372BCD" w:rsidP="00E65115">
      <w:pPr>
        <w:spacing w:after="0"/>
        <w:jc w:val="left"/>
      </w:pPr>
    </w:p>
    <w:p w14:paraId="0FC003A2" w14:textId="77777777" w:rsidR="00372BCD" w:rsidRDefault="00C73F22" w:rsidP="000E5143">
      <w:pPr>
        <w:pStyle w:val="BodyText3"/>
        <w:jc w:val="left"/>
      </w:pPr>
      <w:r>
        <w:t>All i</w:t>
      </w:r>
      <w:r w:rsidR="00372BCD">
        <w:t>nformation</w:t>
      </w:r>
      <w:r w:rsidR="005343EE" w:rsidRPr="001A6F19">
        <w:t xml:space="preserve"> provided </w:t>
      </w:r>
      <w:r>
        <w:t>by vendors in response to</w:t>
      </w:r>
      <w:r w:rsidR="00372BCD">
        <w:t xml:space="preserve"> this EOI will be </w:t>
      </w:r>
      <w:r w:rsidR="00011A0E">
        <w:t>treated</w:t>
      </w:r>
      <w:r w:rsidR="00372BCD">
        <w:t xml:space="preserve"> confidentially. DAI will not use the information in any other context or setting and </w:t>
      </w:r>
      <w:r w:rsidR="00011A0E">
        <w:t xml:space="preserve">we </w:t>
      </w:r>
      <w:r w:rsidR="00372BCD">
        <w:t xml:space="preserve">will not </w:t>
      </w:r>
      <w:r w:rsidR="00011A0E">
        <w:t>reveal details to other parties</w:t>
      </w:r>
      <w:r w:rsidR="00372BCD">
        <w:t>.</w:t>
      </w:r>
      <w:r w:rsidR="005343EE" w:rsidRPr="001A6F19">
        <w:t xml:space="preserve"> </w:t>
      </w:r>
    </w:p>
    <w:p w14:paraId="54581C44" w14:textId="77777777" w:rsidR="00000E54" w:rsidRDefault="00000E54" w:rsidP="00000E54">
      <w:pPr>
        <w:pStyle w:val="BodyText3"/>
        <w:jc w:val="left"/>
      </w:pPr>
    </w:p>
    <w:p w14:paraId="13BA150E" w14:textId="65A9C845" w:rsidR="00A5449C" w:rsidRDefault="00A5449C" w:rsidP="00000E54">
      <w:pPr>
        <w:pStyle w:val="Heading2"/>
        <w:numPr>
          <w:ilvl w:val="0"/>
          <w:numId w:val="0"/>
        </w:numPr>
        <w:spacing w:before="0" w:after="0"/>
        <w:ind w:left="576" w:hanging="576"/>
        <w:jc w:val="left"/>
        <w:rPr>
          <w:color w:val="002060"/>
          <w:sz w:val="24"/>
          <w:szCs w:val="24"/>
        </w:rPr>
      </w:pPr>
      <w:r>
        <w:rPr>
          <w:color w:val="002060"/>
          <w:sz w:val="24"/>
          <w:szCs w:val="24"/>
        </w:rPr>
        <w:t>Project Overview</w:t>
      </w:r>
    </w:p>
    <w:p w14:paraId="797EA034" w14:textId="77777777" w:rsidR="00A5449C" w:rsidRPr="00A5449C" w:rsidRDefault="00A5449C" w:rsidP="00A5449C">
      <w:pPr>
        <w:pStyle w:val="NormalWeb"/>
        <w:rPr>
          <w:rFonts w:ascii="Times New Roman" w:hAnsi="Times New Roman" w:cs="Times New Roman"/>
        </w:rPr>
      </w:pPr>
      <w:r w:rsidRPr="00A5449C">
        <w:rPr>
          <w:rFonts w:ascii="Times New Roman" w:hAnsi="Times New Roman" w:cs="Times New Roman"/>
        </w:rPr>
        <w:t xml:space="preserve">Afghanistan Value Chains – High Value Crops (AVC-HVC) is a 5-year, $54.9 million market-oriented activity that will operate throughout the country, with regional offices in Kabul, Herat, Mazar-e-Sharif, Jalalabad, and Kandahar. AVC-HVC supports U.S. and Afghan government economic development objectives by promoting sustainable agriculture-led economic growth, in line with the Ministry of Agriculture, Irrigation and Livestock's National Comprehensive </w:t>
      </w:r>
      <w:r w:rsidRPr="00A5449C">
        <w:rPr>
          <w:rFonts w:ascii="Times New Roman" w:hAnsi="Times New Roman" w:cs="Times New Roman"/>
        </w:rPr>
        <w:lastRenderedPageBreak/>
        <w:t>Agricultural Development Priority Program.  The high value crops (HVC) sector contributes significantly towards Afghan economic growth and employment. </w:t>
      </w:r>
    </w:p>
    <w:p w14:paraId="09D4D884" w14:textId="77777777" w:rsidR="00A5449C" w:rsidRPr="00A5449C" w:rsidRDefault="00A5449C" w:rsidP="00A5449C">
      <w:pPr>
        <w:pStyle w:val="NormalWeb"/>
        <w:rPr>
          <w:rFonts w:ascii="Times New Roman" w:hAnsi="Times New Roman" w:cs="Times New Roman"/>
        </w:rPr>
      </w:pPr>
      <w:r w:rsidRPr="00A5449C">
        <w:rPr>
          <w:rFonts w:ascii="Times New Roman" w:hAnsi="Times New Roman" w:cs="Times New Roman"/>
        </w:rPr>
        <w:t>Building upon past U.S. Government investments in agricultural productivity, AVC-HVC represents USAID’s shift towards private-sector and agriculture-led economic growth by building the capacity of individual high value crop related enterprises to be profitable and competitive. The activity will focus on these ‘anchor firms’ and provide them with business development services and advice, driving profits and employment in a sector that supports approximately 80 percent of the Afghan population. Recognizing the important role that women and youth play in high value crops, AVC-HVC will integrate them directly into its business services, generating opportunities for them to be active, decision-making participants at all levels of the value chain.</w:t>
      </w:r>
    </w:p>
    <w:p w14:paraId="5341424E" w14:textId="70374760" w:rsidR="00000E54" w:rsidRPr="00533F84" w:rsidRDefault="00000E54" w:rsidP="00A5449C">
      <w:pPr>
        <w:pStyle w:val="Heading2"/>
        <w:numPr>
          <w:ilvl w:val="0"/>
          <w:numId w:val="0"/>
        </w:numPr>
        <w:spacing w:before="0"/>
        <w:ind w:left="576" w:hanging="576"/>
        <w:jc w:val="left"/>
        <w:rPr>
          <w:color w:val="002060"/>
          <w:sz w:val="24"/>
          <w:szCs w:val="24"/>
        </w:rPr>
      </w:pPr>
      <w:r>
        <w:rPr>
          <w:color w:val="002060"/>
          <w:sz w:val="24"/>
          <w:szCs w:val="24"/>
        </w:rPr>
        <w:t>Scope of work</w:t>
      </w:r>
    </w:p>
    <w:p w14:paraId="3F6257AC" w14:textId="4DB61A92" w:rsidR="007521EC" w:rsidRDefault="007521EC" w:rsidP="007521EC">
      <w:r>
        <w:t>AVC-HVC will provide supplier management software to its anchor firms. The I</w:t>
      </w:r>
      <w:r w:rsidR="002B0577">
        <w:t>C</w:t>
      </w:r>
      <w:r>
        <w:t xml:space="preserve">T service provider is </w:t>
      </w:r>
      <w:r w:rsidR="002B0577">
        <w:t xml:space="preserve">required </w:t>
      </w:r>
      <w:r>
        <w:t>to provide technical support and assistance to the a</w:t>
      </w:r>
      <w:r w:rsidR="002B0577">
        <w:t>nchor firms’ IT personnel on both</w:t>
      </w:r>
      <w:r>
        <w:t xml:space="preserve"> operating the software and maintenance to assure the functionality and stable performance of the software. The IT service provider will designate one specialist who will be trained by the software company and provide services include but not limited to:</w:t>
      </w:r>
    </w:p>
    <w:p w14:paraId="3ACA2572" w14:textId="45002A80" w:rsidR="007521EC" w:rsidRDefault="007521EC" w:rsidP="007521EC">
      <w:pPr>
        <w:numPr>
          <w:ilvl w:val="0"/>
          <w:numId w:val="36"/>
        </w:numPr>
        <w:spacing w:after="0"/>
        <w:jc w:val="left"/>
      </w:pPr>
      <w:r>
        <w:t>Be the focal point in regard to IT technical issues of the software and maintain close communication with the software company</w:t>
      </w:r>
      <w:r w:rsidR="00240C06">
        <w:t>;</w:t>
      </w:r>
    </w:p>
    <w:p w14:paraId="326B544E" w14:textId="2070DCD2" w:rsidR="00240C06" w:rsidRDefault="00240C06" w:rsidP="007521EC">
      <w:pPr>
        <w:numPr>
          <w:ilvl w:val="0"/>
          <w:numId w:val="36"/>
        </w:numPr>
        <w:spacing w:after="0"/>
        <w:jc w:val="left"/>
      </w:pPr>
      <w:r>
        <w:t xml:space="preserve">Have offices in </w:t>
      </w:r>
      <w:r w:rsidR="00A5449C">
        <w:t xml:space="preserve">some or all of </w:t>
      </w:r>
      <w:r>
        <w:t>Kabul, Mazar, Herat, Jalalabad, and Kandahar</w:t>
      </w:r>
      <w:r w:rsidR="00A5449C">
        <w:t xml:space="preserve">, </w:t>
      </w:r>
      <w:r>
        <w:t>and can assign a designate person for these services</w:t>
      </w:r>
      <w:r w:rsidR="00A5449C">
        <w:t>;</w:t>
      </w:r>
    </w:p>
    <w:p w14:paraId="780B5696" w14:textId="3DEEC966" w:rsidR="007521EC" w:rsidRDefault="007521EC" w:rsidP="007521EC">
      <w:pPr>
        <w:numPr>
          <w:ilvl w:val="0"/>
          <w:numId w:val="36"/>
        </w:numPr>
        <w:spacing w:after="0"/>
        <w:jc w:val="left"/>
      </w:pPr>
      <w:r>
        <w:t>Software installation and maintenance such as trouble shooting</w:t>
      </w:r>
      <w:r w:rsidR="00240C06">
        <w:t>, etc.;</w:t>
      </w:r>
    </w:p>
    <w:p w14:paraId="66059FF7" w14:textId="1C0E7484" w:rsidR="007521EC" w:rsidRDefault="007521EC" w:rsidP="007521EC">
      <w:pPr>
        <w:numPr>
          <w:ilvl w:val="0"/>
          <w:numId w:val="36"/>
        </w:numPr>
        <w:spacing w:after="0"/>
        <w:jc w:val="left"/>
      </w:pPr>
      <w:r>
        <w:t>Provide technical support to anchor firms on how to operate the software and p</w:t>
      </w:r>
      <w:r w:rsidR="00240C06">
        <w:t>rovide on-job guidance;</w:t>
      </w:r>
    </w:p>
    <w:p w14:paraId="4BFBE141" w14:textId="349203AF" w:rsidR="00700652" w:rsidRDefault="007521EC" w:rsidP="00700652">
      <w:pPr>
        <w:numPr>
          <w:ilvl w:val="0"/>
          <w:numId w:val="36"/>
        </w:numPr>
        <w:spacing w:after="0"/>
        <w:jc w:val="left"/>
      </w:pPr>
      <w:r>
        <w:t>Check weekly on the software performance and provide feedback to the software company</w:t>
      </w:r>
      <w:r w:rsidR="00240C06">
        <w:t>;</w:t>
      </w:r>
    </w:p>
    <w:p w14:paraId="49BA5A95" w14:textId="77777777" w:rsidR="007521EC" w:rsidRDefault="007521EC" w:rsidP="007521EC">
      <w:pPr>
        <w:numPr>
          <w:ilvl w:val="0"/>
          <w:numId w:val="36"/>
        </w:numPr>
        <w:spacing w:after="0"/>
        <w:jc w:val="left"/>
      </w:pPr>
      <w:r>
        <w:t>Other services may arise to ensure the functionality and application of the software.</w:t>
      </w:r>
    </w:p>
    <w:p w14:paraId="6330EFD8" w14:textId="77777777" w:rsidR="000E5143" w:rsidRDefault="000E5143" w:rsidP="000E5143">
      <w:pPr>
        <w:pStyle w:val="BodyText3"/>
        <w:jc w:val="left"/>
      </w:pPr>
    </w:p>
    <w:p w14:paraId="676E1426" w14:textId="77777777" w:rsidR="005343EE" w:rsidRPr="00533F84" w:rsidRDefault="004862E4" w:rsidP="00A5449C">
      <w:pPr>
        <w:pStyle w:val="Heading2"/>
        <w:numPr>
          <w:ilvl w:val="0"/>
          <w:numId w:val="0"/>
        </w:numPr>
        <w:spacing w:before="0"/>
        <w:ind w:left="576" w:hanging="576"/>
        <w:jc w:val="left"/>
        <w:rPr>
          <w:color w:val="002060"/>
          <w:sz w:val="24"/>
          <w:szCs w:val="24"/>
        </w:rPr>
      </w:pPr>
      <w:r w:rsidRPr="00533F84">
        <w:rPr>
          <w:color w:val="002060"/>
          <w:sz w:val="24"/>
          <w:szCs w:val="24"/>
        </w:rPr>
        <w:t>Obligations</w:t>
      </w:r>
    </w:p>
    <w:p w14:paraId="0507D81D" w14:textId="06D09C06" w:rsidR="00533F84" w:rsidRPr="004964C2" w:rsidRDefault="003D20B3" w:rsidP="00533F84">
      <w:pPr>
        <w:autoSpaceDE w:val="0"/>
        <w:autoSpaceDN w:val="0"/>
        <w:adjustRightInd w:val="0"/>
        <w:spacing w:after="0"/>
        <w:jc w:val="left"/>
      </w:pPr>
      <w:r>
        <w:t>DAI</w:t>
      </w:r>
      <w:r w:rsidR="005343EE">
        <w:t xml:space="preserve"> </w:t>
      </w:r>
      <w:r w:rsidR="00011A0E">
        <w:t>will not reimburse</w:t>
      </w:r>
      <w:r w:rsidR="005343EE">
        <w:t xml:space="preserve"> respondents for </w:t>
      </w:r>
      <w:r w:rsidR="00A30985">
        <w:t>the costs incurred with preparing a response, nor does issuance of this EOI</w:t>
      </w:r>
      <w:r w:rsidR="00A30985" w:rsidRPr="008C5B96">
        <w:t xml:space="preserve"> </w:t>
      </w:r>
      <w:r w:rsidR="00A30985">
        <w:t xml:space="preserve">obligate </w:t>
      </w:r>
      <w:r w:rsidR="00A30985" w:rsidRPr="008C5B96">
        <w:t>DAI to award a subcontract or purchase order.</w:t>
      </w:r>
      <w:r w:rsidR="00533F84">
        <w:t xml:space="preserve"> </w:t>
      </w:r>
      <w:r w:rsidR="00533F84" w:rsidRPr="004964C2">
        <w:t xml:space="preserve">If a </w:t>
      </w:r>
      <w:r w:rsidR="00533F84">
        <w:t>Vendor</w:t>
      </w:r>
      <w:r w:rsidR="00533F84" w:rsidRPr="004964C2">
        <w:t xml:space="preserve"> is found to have made false or misleading claims or statements, obtains confidential information, or receives improper assistance, DAI reserves the right to reject</w:t>
      </w:r>
      <w:r w:rsidR="00533F84">
        <w:t xml:space="preserve"> an</w:t>
      </w:r>
      <w:r w:rsidR="00533F84" w:rsidRPr="004964C2">
        <w:t xml:space="preserve"> EOI </w:t>
      </w:r>
      <w:r w:rsidR="00533F84">
        <w:t>submitted</w:t>
      </w:r>
      <w:r w:rsidR="00533F84" w:rsidRPr="004964C2">
        <w:t xml:space="preserve"> by or on behalf of </w:t>
      </w:r>
      <w:r w:rsidR="00A30985">
        <w:t>a v</w:t>
      </w:r>
      <w:r w:rsidR="00533F84">
        <w:t>endor</w:t>
      </w:r>
      <w:r w:rsidR="00533F84" w:rsidRPr="004964C2">
        <w:t>.</w:t>
      </w:r>
      <w:r w:rsidR="00E9256C">
        <w:t xml:space="preserve"> </w:t>
      </w:r>
    </w:p>
    <w:p w14:paraId="18FA9001" w14:textId="77777777" w:rsidR="00011A0E" w:rsidRDefault="00011A0E" w:rsidP="00153C7A">
      <w:pPr>
        <w:pStyle w:val="BodyTextIndent2"/>
        <w:ind w:left="0"/>
      </w:pPr>
    </w:p>
    <w:p w14:paraId="5F732411" w14:textId="77777777" w:rsidR="00B22EF0" w:rsidRPr="00533F84" w:rsidRDefault="00B22EF0" w:rsidP="00A5449C">
      <w:pPr>
        <w:pStyle w:val="Heading2"/>
        <w:numPr>
          <w:ilvl w:val="0"/>
          <w:numId w:val="0"/>
        </w:numPr>
        <w:spacing w:before="0"/>
        <w:ind w:left="576" w:hanging="576"/>
        <w:rPr>
          <w:color w:val="002060"/>
          <w:sz w:val="24"/>
          <w:szCs w:val="24"/>
        </w:rPr>
      </w:pPr>
      <w:bookmarkStart w:id="4" w:name="_Toc284579647"/>
      <w:r w:rsidRPr="00533F84">
        <w:rPr>
          <w:color w:val="002060"/>
          <w:sz w:val="24"/>
          <w:szCs w:val="24"/>
        </w:rPr>
        <w:t>Clarification of Submissions</w:t>
      </w:r>
      <w:bookmarkEnd w:id="4"/>
    </w:p>
    <w:p w14:paraId="5F3B98BC" w14:textId="77777777" w:rsidR="00B22EF0" w:rsidRPr="006C1592" w:rsidRDefault="00B22EF0" w:rsidP="00153C7A">
      <w:pPr>
        <w:autoSpaceDE w:val="0"/>
        <w:autoSpaceDN w:val="0"/>
        <w:adjustRightInd w:val="0"/>
        <w:spacing w:after="0"/>
        <w:jc w:val="left"/>
        <w:rPr>
          <w:sz w:val="23"/>
          <w:szCs w:val="23"/>
        </w:rPr>
      </w:pPr>
      <w:r w:rsidRPr="00B22EF0">
        <w:t xml:space="preserve">DAI may require a </w:t>
      </w:r>
      <w:r w:rsidR="00011A0E">
        <w:t>r</w:t>
      </w:r>
      <w:r w:rsidRPr="00B22EF0">
        <w:t xml:space="preserve">espondent to submit additional information </w:t>
      </w:r>
      <w:r w:rsidR="00A30985">
        <w:t>in order to better judge a response</w:t>
      </w:r>
      <w:r w:rsidR="00011A0E">
        <w:t>.</w:t>
      </w:r>
    </w:p>
    <w:p w14:paraId="0C5F481B" w14:textId="77777777" w:rsidR="004964C2" w:rsidRDefault="004964C2" w:rsidP="00153C7A">
      <w:pPr>
        <w:autoSpaceDE w:val="0"/>
        <w:autoSpaceDN w:val="0"/>
        <w:adjustRightInd w:val="0"/>
        <w:spacing w:after="0"/>
        <w:jc w:val="left"/>
        <w:rPr>
          <w:rFonts w:ascii="Arial" w:hAnsi="Arial" w:cs="Arial"/>
          <w:sz w:val="23"/>
          <w:szCs w:val="23"/>
        </w:rPr>
      </w:pPr>
    </w:p>
    <w:p w14:paraId="3E5DE530" w14:textId="77777777" w:rsidR="005343EE" w:rsidRPr="00533F84" w:rsidRDefault="00A86E5B" w:rsidP="00A5449C">
      <w:pPr>
        <w:pStyle w:val="Heading2"/>
        <w:numPr>
          <w:ilvl w:val="0"/>
          <w:numId w:val="0"/>
        </w:numPr>
        <w:spacing w:before="0"/>
        <w:ind w:left="576" w:hanging="576"/>
        <w:rPr>
          <w:color w:val="002060"/>
          <w:sz w:val="24"/>
          <w:szCs w:val="24"/>
        </w:rPr>
      </w:pPr>
      <w:r>
        <w:rPr>
          <w:color w:val="002060"/>
          <w:sz w:val="24"/>
          <w:szCs w:val="24"/>
        </w:rPr>
        <w:t>Factors for Consideration</w:t>
      </w:r>
    </w:p>
    <w:p w14:paraId="332E30D0" w14:textId="1883867C" w:rsidR="006B32F3" w:rsidRDefault="00C73F22" w:rsidP="007131EC">
      <w:pPr>
        <w:pStyle w:val="BodyText2"/>
      </w:pPr>
      <w:r>
        <w:t>Responders are expected to write a</w:t>
      </w:r>
      <w:r w:rsidR="00E9256C">
        <w:t>n</w:t>
      </w:r>
      <w:r>
        <w:t xml:space="preserve"> explanation about how they can address each of these areas of interest by DAI, which will be used as a way to determine if Vendors shall be pre-qualified.</w:t>
      </w:r>
    </w:p>
    <w:p w14:paraId="08CB05BD" w14:textId="77777777" w:rsidR="00240C06" w:rsidRDefault="00240C06" w:rsidP="007131EC">
      <w:pPr>
        <w:pStyle w:val="BodyText2"/>
      </w:pPr>
    </w:p>
    <w:p w14:paraId="0E137541" w14:textId="0F2413EF" w:rsidR="00C73F22" w:rsidRDefault="00C73F22" w:rsidP="00C73F22">
      <w:pPr>
        <w:pStyle w:val="BodyText2"/>
        <w:numPr>
          <w:ilvl w:val="0"/>
          <w:numId w:val="35"/>
        </w:numPr>
      </w:pPr>
      <w:r w:rsidRPr="00240C06">
        <w:lastRenderedPageBreak/>
        <w:t>Ability or confirmation of ability to provide goods or services described above.</w:t>
      </w:r>
    </w:p>
    <w:p w14:paraId="761D648E" w14:textId="35410835" w:rsidR="00A5449C" w:rsidRPr="00240C06" w:rsidRDefault="00A5449C" w:rsidP="00C73F22">
      <w:pPr>
        <w:pStyle w:val="BodyText2"/>
        <w:numPr>
          <w:ilvl w:val="0"/>
          <w:numId w:val="35"/>
        </w:numPr>
      </w:pPr>
      <w:r>
        <w:t xml:space="preserve">Presence in the cities mentioned. </w:t>
      </w:r>
    </w:p>
    <w:p w14:paraId="1B86025A" w14:textId="42E5D3FD" w:rsidR="00C73F22" w:rsidRPr="00240C06" w:rsidRDefault="00A86E5B" w:rsidP="00C73F22">
      <w:pPr>
        <w:pStyle w:val="BodyText2"/>
        <w:numPr>
          <w:ilvl w:val="0"/>
          <w:numId w:val="35"/>
        </w:numPr>
      </w:pPr>
      <w:r w:rsidRPr="00240C06">
        <w:t xml:space="preserve">The vendor is registered and licensed in </w:t>
      </w:r>
      <w:r w:rsidR="00240C06" w:rsidRPr="00240C06">
        <w:t>Afghanistan</w:t>
      </w:r>
      <w:r w:rsidRPr="00240C06">
        <w:t xml:space="preserve"> to perform the work outlined above</w:t>
      </w:r>
      <w:r w:rsidR="00A5449C">
        <w:t>.</w:t>
      </w:r>
    </w:p>
    <w:p w14:paraId="61935E34" w14:textId="77777777" w:rsidR="00A86E5B" w:rsidRPr="00240C06" w:rsidRDefault="00A86E5B" w:rsidP="00C73F22">
      <w:pPr>
        <w:pStyle w:val="BodyText2"/>
        <w:numPr>
          <w:ilvl w:val="0"/>
          <w:numId w:val="35"/>
        </w:numPr>
      </w:pPr>
      <w:r w:rsidRPr="00240C06">
        <w:t>Illustrative CVs of individuals on staff, or available to the vendor, who can perform the scope of work.</w:t>
      </w:r>
    </w:p>
    <w:p w14:paraId="6D91EA32" w14:textId="05EF3057" w:rsidR="00E9256C" w:rsidRPr="00240C06" w:rsidRDefault="00E9256C" w:rsidP="00C73F22">
      <w:pPr>
        <w:pStyle w:val="BodyText2"/>
        <w:numPr>
          <w:ilvl w:val="0"/>
          <w:numId w:val="35"/>
        </w:numPr>
      </w:pPr>
      <w:r w:rsidRPr="00240C06">
        <w:t xml:space="preserve">Three past performance </w:t>
      </w:r>
      <w:r w:rsidR="0067070E" w:rsidRPr="00240C06">
        <w:t>descriptions</w:t>
      </w:r>
      <w:r w:rsidRPr="00240C06">
        <w:t xml:space="preserve"> illustrating </w:t>
      </w:r>
      <w:r w:rsidR="0067070E" w:rsidRPr="00240C06">
        <w:t xml:space="preserve">relevant </w:t>
      </w:r>
      <w:r w:rsidRPr="00240C06">
        <w:t>experienc</w:t>
      </w:r>
      <w:r w:rsidR="00240C06" w:rsidRPr="00240C06">
        <w:t xml:space="preserve">e delivering the required </w:t>
      </w:r>
      <w:r w:rsidRPr="00240C06">
        <w:t>services</w:t>
      </w:r>
      <w:r w:rsidR="00A5449C">
        <w:t>.</w:t>
      </w:r>
    </w:p>
    <w:p w14:paraId="099FAE49" w14:textId="63C7973D" w:rsidR="00240C06" w:rsidRPr="00240C06" w:rsidRDefault="00240C06" w:rsidP="00C73F22">
      <w:pPr>
        <w:pStyle w:val="BodyText2"/>
        <w:numPr>
          <w:ilvl w:val="0"/>
          <w:numId w:val="35"/>
        </w:numPr>
      </w:pPr>
      <w:r w:rsidRPr="00240C06">
        <w:t>Financial proposal including cost structure, unit and total cost estimation for a period of one year</w:t>
      </w:r>
      <w:r w:rsidR="00A5449C">
        <w:t>.</w:t>
      </w:r>
    </w:p>
    <w:p w14:paraId="11D2834B" w14:textId="77777777" w:rsidR="00C73F22" w:rsidRPr="00A5449C" w:rsidRDefault="00C73F22" w:rsidP="007131EC">
      <w:pPr>
        <w:pStyle w:val="BodyText2"/>
      </w:pPr>
    </w:p>
    <w:p w14:paraId="540382ED" w14:textId="77777777" w:rsidR="0061256B" w:rsidRPr="00A5449C" w:rsidRDefault="003A5564" w:rsidP="00A5449C">
      <w:pPr>
        <w:pStyle w:val="Heading1"/>
        <w:numPr>
          <w:ilvl w:val="0"/>
          <w:numId w:val="0"/>
        </w:numPr>
        <w:spacing w:before="0"/>
        <w:ind w:left="432" w:hanging="432"/>
        <w:jc w:val="left"/>
        <w:rPr>
          <w:color w:val="002060"/>
          <w:sz w:val="24"/>
          <w:u w:val="none"/>
        </w:rPr>
      </w:pPr>
      <w:bookmarkStart w:id="5" w:name="_Toc440711039"/>
      <w:bookmarkStart w:id="6" w:name="_Toc496690649"/>
      <w:bookmarkStart w:id="7" w:name="_Toc496929140"/>
      <w:bookmarkStart w:id="8" w:name="_Toc498512188"/>
      <w:r>
        <w:rPr>
          <w:color w:val="002060"/>
          <w:sz w:val="24"/>
          <w:u w:val="none"/>
        </w:rPr>
        <w:object w:dxaOrig="1440" w:dyaOrig="1440" w14:anchorId="0BADF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in;margin-top:-92.4pt;width:81.65pt;height:53.15pt;z-index:251657728;visibility:visible;mso-wrap-edited:f" o:allowincell="f">
            <v:imagedata r:id="rId13" o:title=""/>
          </v:shape>
          <o:OLEObject Type="Embed" ProgID="Word.Picture.8" ShapeID="_x0000_s1027" DrawAspect="Content" ObjectID="_1604844263" r:id="rId14"/>
        </w:object>
      </w:r>
      <w:bookmarkStart w:id="9" w:name="_Toc284579656"/>
      <w:r w:rsidR="0061256B" w:rsidRPr="00A5449C">
        <w:rPr>
          <w:color w:val="002060"/>
          <w:sz w:val="24"/>
          <w:u w:val="none"/>
        </w:rPr>
        <w:t>Respon</w:t>
      </w:r>
      <w:bookmarkStart w:id="10" w:name="_Toc440711040"/>
      <w:bookmarkEnd w:id="5"/>
      <w:bookmarkEnd w:id="6"/>
      <w:r w:rsidR="0061256B" w:rsidRPr="00A5449C">
        <w:rPr>
          <w:color w:val="002060"/>
          <w:sz w:val="24"/>
          <w:u w:val="none"/>
        </w:rPr>
        <w:t>se</w:t>
      </w:r>
      <w:r w:rsidR="006E7AE3" w:rsidRPr="00A5449C">
        <w:rPr>
          <w:color w:val="002060"/>
          <w:sz w:val="24"/>
          <w:u w:val="none"/>
        </w:rPr>
        <w:t xml:space="preserve"> </w:t>
      </w:r>
      <w:r w:rsidR="0061256B" w:rsidRPr="00A5449C">
        <w:rPr>
          <w:color w:val="002060"/>
          <w:sz w:val="24"/>
          <w:u w:val="none"/>
        </w:rPr>
        <w:t>Format</w:t>
      </w:r>
      <w:bookmarkEnd w:id="7"/>
      <w:bookmarkEnd w:id="8"/>
      <w:bookmarkEnd w:id="9"/>
    </w:p>
    <w:p w14:paraId="25C29E28" w14:textId="77777777" w:rsidR="0061256B" w:rsidRDefault="00533F84" w:rsidP="005D1D96">
      <w:pPr>
        <w:pStyle w:val="BodyText3"/>
        <w:jc w:val="left"/>
      </w:pPr>
      <w:r>
        <w:t>Vendors</w:t>
      </w:r>
      <w:r w:rsidR="0061256B" w:rsidRPr="00157294">
        <w:t xml:space="preserve"> must complete their responses, in English</w:t>
      </w:r>
      <w:r w:rsidR="00157294">
        <w:t>, following the specification</w:t>
      </w:r>
      <w:r w:rsidR="006E7AE3">
        <w:t>s</w:t>
      </w:r>
      <w:r w:rsidR="00157294">
        <w:t xml:space="preserve"> outlined below</w:t>
      </w:r>
      <w:r w:rsidR="0061256B" w:rsidRPr="00157294">
        <w:t>.  The response format consists of</w:t>
      </w:r>
      <w:r w:rsidR="00C6418E">
        <w:t xml:space="preserve"> </w:t>
      </w:r>
      <w:bookmarkEnd w:id="10"/>
      <w:r w:rsidR="00A86E5B">
        <w:t>three sections</w:t>
      </w:r>
    </w:p>
    <w:p w14:paraId="363A3920" w14:textId="77777777" w:rsidR="00A745D5" w:rsidRPr="007131EC" w:rsidRDefault="006E7AE3" w:rsidP="006E7AE3">
      <w:pPr>
        <w:pStyle w:val="Caption"/>
        <w:spacing w:after="0"/>
        <w:jc w:val="left"/>
        <w:rPr>
          <w:b w:val="0"/>
          <w:i/>
          <w:sz w:val="24"/>
          <w:szCs w:val="24"/>
        </w:rPr>
      </w:pPr>
      <w:bookmarkStart w:id="11" w:name="_Toc440711043"/>
      <w:r w:rsidRPr="007131EC">
        <w:rPr>
          <w:b w:val="0"/>
          <w:i/>
          <w:sz w:val="24"/>
          <w:szCs w:val="24"/>
        </w:rPr>
        <w:t xml:space="preserve">Section </w:t>
      </w:r>
      <w:r w:rsidR="009F4293">
        <w:rPr>
          <w:b w:val="0"/>
          <w:i/>
          <w:sz w:val="24"/>
          <w:szCs w:val="24"/>
        </w:rPr>
        <w:t>1</w:t>
      </w:r>
      <w:r w:rsidR="00E9256C">
        <w:rPr>
          <w:b w:val="0"/>
          <w:i/>
          <w:sz w:val="24"/>
          <w:szCs w:val="24"/>
        </w:rPr>
        <w:t xml:space="preserve">: </w:t>
      </w:r>
      <w:r w:rsidR="00E9256C">
        <w:rPr>
          <w:i/>
          <w:sz w:val="24"/>
          <w:szCs w:val="24"/>
        </w:rPr>
        <w:t>Vendor Information</w:t>
      </w:r>
      <w:r w:rsidR="009F4293">
        <w:rPr>
          <w:b w:val="0"/>
          <w:i/>
          <w:sz w:val="24"/>
          <w:szCs w:val="24"/>
        </w:rPr>
        <w:t xml:space="preserve"> </w:t>
      </w:r>
    </w:p>
    <w:tbl>
      <w:tblPr>
        <w:tblW w:w="8995"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
      <w:tblGrid>
        <w:gridCol w:w="1070"/>
        <w:gridCol w:w="7925"/>
      </w:tblGrid>
      <w:tr w:rsidR="00533F84" w:rsidRPr="00240C06" w14:paraId="5B79BD56" w14:textId="77777777" w:rsidTr="00A5449C">
        <w:tc>
          <w:tcPr>
            <w:tcW w:w="1070" w:type="dxa"/>
            <w:tcBorders>
              <w:top w:val="single" w:sz="4" w:space="0" w:color="auto"/>
              <w:left w:val="single" w:sz="4" w:space="0" w:color="auto"/>
            </w:tcBorders>
          </w:tcPr>
          <w:p w14:paraId="72AE5D3C" w14:textId="77777777" w:rsidR="00533F84" w:rsidRPr="00240C06" w:rsidRDefault="00533F84" w:rsidP="006E7AE3">
            <w:pPr>
              <w:pStyle w:val="BodyText2"/>
              <w:spacing w:before="40"/>
              <w:jc w:val="center"/>
              <w:rPr>
                <w:b/>
                <w:color w:val="auto"/>
              </w:rPr>
            </w:pPr>
            <w:r w:rsidRPr="00240C06">
              <w:rPr>
                <w:b/>
                <w:color w:val="auto"/>
              </w:rPr>
              <w:t>Section Number</w:t>
            </w:r>
          </w:p>
        </w:tc>
        <w:tc>
          <w:tcPr>
            <w:tcW w:w="7925" w:type="dxa"/>
            <w:tcBorders>
              <w:top w:val="single" w:sz="4" w:space="0" w:color="auto"/>
            </w:tcBorders>
          </w:tcPr>
          <w:p w14:paraId="263BB41F" w14:textId="77777777" w:rsidR="00533F84" w:rsidRPr="00240C06" w:rsidRDefault="00E9256C" w:rsidP="00625393">
            <w:pPr>
              <w:pStyle w:val="BodyText2"/>
              <w:spacing w:before="40"/>
              <w:jc w:val="left"/>
              <w:rPr>
                <w:b/>
                <w:color w:val="auto"/>
              </w:rPr>
            </w:pPr>
            <w:r w:rsidRPr="00240C06">
              <w:rPr>
                <w:b/>
                <w:color w:val="auto"/>
              </w:rPr>
              <w:t>Description</w:t>
            </w:r>
          </w:p>
        </w:tc>
      </w:tr>
      <w:tr w:rsidR="00533F84" w:rsidRPr="00240C06" w14:paraId="412B14EA" w14:textId="77777777" w:rsidTr="00A5449C">
        <w:tc>
          <w:tcPr>
            <w:tcW w:w="1070" w:type="dxa"/>
            <w:tcBorders>
              <w:top w:val="single" w:sz="6" w:space="0" w:color="000000"/>
              <w:left w:val="single" w:sz="4" w:space="0" w:color="auto"/>
            </w:tcBorders>
          </w:tcPr>
          <w:p w14:paraId="68616F4C" w14:textId="77777777" w:rsidR="00533F84" w:rsidRPr="00240C06" w:rsidRDefault="009F4293" w:rsidP="006E7AE3">
            <w:pPr>
              <w:pStyle w:val="BodyText2"/>
              <w:jc w:val="center"/>
              <w:rPr>
                <w:color w:val="auto"/>
              </w:rPr>
            </w:pPr>
            <w:r w:rsidRPr="00240C06">
              <w:rPr>
                <w:color w:val="auto"/>
              </w:rPr>
              <w:t>1.0</w:t>
            </w:r>
          </w:p>
        </w:tc>
        <w:tc>
          <w:tcPr>
            <w:tcW w:w="7925" w:type="dxa"/>
            <w:tcBorders>
              <w:top w:val="single" w:sz="6" w:space="0" w:color="000000"/>
            </w:tcBorders>
          </w:tcPr>
          <w:p w14:paraId="7CF79564" w14:textId="77777777" w:rsidR="00533F84" w:rsidRPr="00240C06" w:rsidRDefault="009F4293" w:rsidP="009F4293">
            <w:pPr>
              <w:pStyle w:val="BodyText2"/>
              <w:jc w:val="left"/>
              <w:rPr>
                <w:color w:val="auto"/>
              </w:rPr>
            </w:pPr>
            <w:r w:rsidRPr="00240C06">
              <w:rPr>
                <w:color w:val="auto"/>
              </w:rPr>
              <w:t>Cover Letter</w:t>
            </w:r>
          </w:p>
        </w:tc>
      </w:tr>
      <w:tr w:rsidR="009F4293" w:rsidRPr="00240C06" w14:paraId="06E707F1" w14:textId="77777777" w:rsidTr="00A5449C">
        <w:tc>
          <w:tcPr>
            <w:tcW w:w="1070" w:type="dxa"/>
            <w:tcBorders>
              <w:left w:val="single" w:sz="4" w:space="0" w:color="auto"/>
            </w:tcBorders>
          </w:tcPr>
          <w:p w14:paraId="2CCE2AF4" w14:textId="77777777" w:rsidR="009F4293" w:rsidRPr="00240C06" w:rsidRDefault="009F4293" w:rsidP="009F4293">
            <w:pPr>
              <w:pStyle w:val="BodyText2"/>
              <w:jc w:val="center"/>
              <w:rPr>
                <w:color w:val="auto"/>
              </w:rPr>
            </w:pPr>
            <w:r w:rsidRPr="00240C06">
              <w:rPr>
                <w:color w:val="auto"/>
              </w:rPr>
              <w:t>1.1</w:t>
            </w:r>
          </w:p>
        </w:tc>
        <w:tc>
          <w:tcPr>
            <w:tcW w:w="7925" w:type="dxa"/>
          </w:tcPr>
          <w:p w14:paraId="7C52933A" w14:textId="77777777" w:rsidR="009F4293" w:rsidRPr="00240C06" w:rsidRDefault="00000E54" w:rsidP="00A86E5B">
            <w:pPr>
              <w:pStyle w:val="BodyText2"/>
              <w:jc w:val="left"/>
              <w:rPr>
                <w:color w:val="auto"/>
              </w:rPr>
            </w:pPr>
            <w:r w:rsidRPr="00240C06">
              <w:rPr>
                <w:color w:val="auto"/>
              </w:rPr>
              <w:t xml:space="preserve">Vendor Information:  </w:t>
            </w:r>
            <w:r w:rsidR="009F4293" w:rsidRPr="00240C06">
              <w:rPr>
                <w:color w:val="auto"/>
              </w:rPr>
              <w:t>Company Name, Address and Phone Number</w:t>
            </w:r>
            <w:r w:rsidRPr="00240C06">
              <w:rPr>
                <w:color w:val="auto"/>
              </w:rPr>
              <w:t>, Form of Incorporation (corporation, partnership, NGO, etc.), Number in Years in Business, Number of Employees (full and part-time)</w:t>
            </w:r>
            <w:r w:rsidR="00C6418E" w:rsidRPr="00240C06">
              <w:rPr>
                <w:color w:val="auto"/>
              </w:rPr>
              <w:t xml:space="preserve">, </w:t>
            </w:r>
            <w:r w:rsidR="00C6418E" w:rsidRPr="00240C06">
              <w:t>Name of Managing Director</w:t>
            </w:r>
            <w:r w:rsidR="00A86E5B" w:rsidRPr="00240C06">
              <w:t>, History of organization.</w:t>
            </w:r>
          </w:p>
        </w:tc>
      </w:tr>
    </w:tbl>
    <w:bookmarkEnd w:id="11"/>
    <w:p w14:paraId="6828635E" w14:textId="77777777" w:rsidR="00C6418E" w:rsidRPr="00A30985" w:rsidRDefault="00C6418E" w:rsidP="00C6418E">
      <w:pPr>
        <w:pStyle w:val="Caption"/>
        <w:spacing w:after="0"/>
        <w:jc w:val="left"/>
        <w:rPr>
          <w:i/>
          <w:sz w:val="24"/>
          <w:szCs w:val="24"/>
        </w:rPr>
      </w:pPr>
      <w:r w:rsidRPr="007131EC">
        <w:rPr>
          <w:b w:val="0"/>
          <w:i/>
          <w:sz w:val="24"/>
          <w:szCs w:val="24"/>
        </w:rPr>
        <w:t xml:space="preserve">Section </w:t>
      </w:r>
      <w:r w:rsidR="00A86E5B">
        <w:rPr>
          <w:b w:val="0"/>
          <w:i/>
          <w:sz w:val="24"/>
          <w:szCs w:val="24"/>
        </w:rPr>
        <w:t>2</w:t>
      </w:r>
      <w:r w:rsidR="00E9256C">
        <w:rPr>
          <w:b w:val="0"/>
          <w:i/>
          <w:sz w:val="24"/>
          <w:szCs w:val="24"/>
        </w:rPr>
        <w:t>:</w:t>
      </w:r>
      <w:r>
        <w:rPr>
          <w:b w:val="0"/>
          <w:i/>
          <w:sz w:val="24"/>
          <w:szCs w:val="24"/>
        </w:rPr>
        <w:t xml:space="preserve"> </w:t>
      </w:r>
      <w:r w:rsidR="00A86E5B" w:rsidRPr="00A30985">
        <w:rPr>
          <w:i/>
          <w:sz w:val="24"/>
          <w:szCs w:val="24"/>
        </w:rPr>
        <w:t>Factors for Consideration</w:t>
      </w:r>
      <w:r w:rsidRPr="00A30985">
        <w:rPr>
          <w:i/>
          <w:sz w:val="24"/>
          <w:szCs w:val="24"/>
        </w:rPr>
        <w:t xml:space="preserve"> </w:t>
      </w:r>
    </w:p>
    <w:tbl>
      <w:tblPr>
        <w:tblW w:w="8995"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
      <w:tblGrid>
        <w:gridCol w:w="856"/>
        <w:gridCol w:w="8139"/>
      </w:tblGrid>
      <w:tr w:rsidR="00E9256C" w:rsidRPr="00240C06" w14:paraId="57D833AF" w14:textId="77777777" w:rsidTr="00A5449C">
        <w:tc>
          <w:tcPr>
            <w:tcW w:w="856" w:type="dxa"/>
            <w:tcBorders>
              <w:top w:val="single" w:sz="6" w:space="0" w:color="000000"/>
              <w:left w:val="single" w:sz="4" w:space="0" w:color="auto"/>
            </w:tcBorders>
          </w:tcPr>
          <w:p w14:paraId="7078FD8A" w14:textId="77777777" w:rsidR="00E9256C" w:rsidRPr="00240C06" w:rsidRDefault="00E9256C" w:rsidP="0075594B">
            <w:pPr>
              <w:pStyle w:val="BodyText2"/>
              <w:jc w:val="center"/>
              <w:rPr>
                <w:color w:val="auto"/>
              </w:rPr>
            </w:pPr>
            <w:r w:rsidRPr="00240C06">
              <w:rPr>
                <w:color w:val="auto"/>
              </w:rPr>
              <w:t>2.0</w:t>
            </w:r>
          </w:p>
        </w:tc>
        <w:tc>
          <w:tcPr>
            <w:tcW w:w="8139" w:type="dxa"/>
            <w:tcBorders>
              <w:top w:val="single" w:sz="6" w:space="0" w:color="000000"/>
            </w:tcBorders>
          </w:tcPr>
          <w:p w14:paraId="6CA382A7" w14:textId="1F62287E" w:rsidR="00E9256C" w:rsidRPr="00240C06" w:rsidRDefault="00E9256C" w:rsidP="00A86E5B">
            <w:pPr>
              <w:spacing w:after="0"/>
              <w:rPr>
                <w:szCs w:val="18"/>
              </w:rPr>
            </w:pPr>
            <w:r w:rsidRPr="00240C06">
              <w:t xml:space="preserve">Responses  to each of the factors for consideration stated </w:t>
            </w:r>
            <w:r w:rsidR="00240C06">
              <w:t>in previous section</w:t>
            </w:r>
          </w:p>
        </w:tc>
      </w:tr>
    </w:tbl>
    <w:p w14:paraId="1C439386" w14:textId="77777777" w:rsidR="00DA61F5" w:rsidRPr="00A30985" w:rsidRDefault="00C6418E" w:rsidP="00E87F0A">
      <w:pPr>
        <w:pStyle w:val="Caption"/>
        <w:spacing w:after="0"/>
        <w:jc w:val="left"/>
        <w:rPr>
          <w:b w:val="0"/>
          <w:i/>
          <w:sz w:val="24"/>
          <w:szCs w:val="24"/>
        </w:rPr>
      </w:pPr>
      <w:r>
        <w:rPr>
          <w:b w:val="0"/>
          <w:i/>
          <w:sz w:val="24"/>
          <w:szCs w:val="24"/>
        </w:rPr>
        <w:t>S</w:t>
      </w:r>
      <w:r w:rsidR="00E87F0A" w:rsidRPr="007131EC">
        <w:rPr>
          <w:b w:val="0"/>
          <w:i/>
          <w:sz w:val="24"/>
          <w:szCs w:val="24"/>
        </w:rPr>
        <w:t xml:space="preserve">ection </w:t>
      </w:r>
      <w:r w:rsidR="00A86E5B">
        <w:rPr>
          <w:b w:val="0"/>
          <w:i/>
          <w:sz w:val="24"/>
          <w:szCs w:val="24"/>
        </w:rPr>
        <w:t>3</w:t>
      </w:r>
      <w:r w:rsidR="00E87F0A">
        <w:rPr>
          <w:b w:val="0"/>
          <w:i/>
          <w:sz w:val="24"/>
          <w:szCs w:val="24"/>
        </w:rPr>
        <w:t xml:space="preserve"> </w:t>
      </w:r>
      <w:r w:rsidRPr="00A30985">
        <w:rPr>
          <w:i/>
          <w:sz w:val="24"/>
          <w:szCs w:val="24"/>
        </w:rPr>
        <w:t>Client Reference:</w:t>
      </w:r>
      <w:r w:rsidRPr="00A30985">
        <w:rPr>
          <w:b w:val="0"/>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174"/>
      </w:tblGrid>
      <w:tr w:rsidR="00E9256C" w:rsidRPr="00240C06" w14:paraId="06A3B5C0" w14:textId="77777777" w:rsidTr="00C6418E">
        <w:tc>
          <w:tcPr>
            <w:tcW w:w="856" w:type="dxa"/>
          </w:tcPr>
          <w:p w14:paraId="677F3213" w14:textId="77777777" w:rsidR="00E9256C" w:rsidRPr="00240C06" w:rsidRDefault="00E9256C" w:rsidP="00A30985">
            <w:pPr>
              <w:spacing w:after="0"/>
              <w:jc w:val="center"/>
            </w:pPr>
            <w:r w:rsidRPr="00240C06">
              <w:t>3.0</w:t>
            </w:r>
          </w:p>
        </w:tc>
        <w:tc>
          <w:tcPr>
            <w:tcW w:w="8389" w:type="dxa"/>
          </w:tcPr>
          <w:p w14:paraId="15B0FE2A" w14:textId="24181F6B" w:rsidR="00E9256C" w:rsidRPr="00240C06" w:rsidRDefault="00E9256C" w:rsidP="00D82C5A">
            <w:pPr>
              <w:spacing w:after="0"/>
              <w:rPr>
                <w:szCs w:val="18"/>
              </w:rPr>
            </w:pPr>
            <w:r w:rsidRPr="00240C06">
              <w:t xml:space="preserve">Include </w:t>
            </w:r>
            <w:r w:rsidR="00240C06">
              <w:t>3</w:t>
            </w:r>
            <w:r w:rsidRPr="00240C06">
              <w:t xml:space="preserve"> Client References, each reference</w:t>
            </w:r>
            <w:r w:rsidRPr="00240C06">
              <w:rPr>
                <w:u w:val="single"/>
              </w:rPr>
              <w:t xml:space="preserve"> must</w:t>
            </w:r>
            <w:r w:rsidRPr="00240C06">
              <w:t xml:space="preserve"> include the following:</w:t>
            </w:r>
          </w:p>
          <w:p w14:paraId="42133D04" w14:textId="77777777" w:rsidR="00E9256C" w:rsidRPr="00240C06" w:rsidRDefault="00E9256C" w:rsidP="00D82C5A">
            <w:pPr>
              <w:spacing w:after="0"/>
              <w:rPr>
                <w:szCs w:val="18"/>
              </w:rPr>
            </w:pPr>
            <w:r w:rsidRPr="00240C06">
              <w:rPr>
                <w:szCs w:val="18"/>
              </w:rPr>
              <w:t>-Client Name, address, Point of Contact Name, Telephone number, email</w:t>
            </w:r>
          </w:p>
          <w:p w14:paraId="77189F49" w14:textId="77777777" w:rsidR="00E9256C" w:rsidRPr="00240C06" w:rsidRDefault="00E9256C" w:rsidP="00E87F0A">
            <w:pPr>
              <w:spacing w:after="0"/>
              <w:rPr>
                <w:szCs w:val="18"/>
              </w:rPr>
            </w:pPr>
            <w:r w:rsidRPr="00240C06">
              <w:rPr>
                <w:szCs w:val="18"/>
              </w:rPr>
              <w:t>-Similar work performed and period of performance</w:t>
            </w:r>
          </w:p>
        </w:tc>
      </w:tr>
    </w:tbl>
    <w:p w14:paraId="51802E89" w14:textId="77777777" w:rsidR="00E9256C" w:rsidRDefault="00E9256C" w:rsidP="00E9256C">
      <w:pPr>
        <w:pStyle w:val="Heading1"/>
        <w:numPr>
          <w:ilvl w:val="0"/>
          <w:numId w:val="0"/>
        </w:numPr>
        <w:spacing w:before="0" w:after="0"/>
        <w:ind w:left="432" w:hanging="432"/>
        <w:jc w:val="left"/>
        <w:rPr>
          <w:rFonts w:ascii="Arial" w:hAnsi="Arial" w:cs="Arial"/>
          <w:b w:val="0"/>
          <w:color w:val="002060"/>
          <w:u w:val="none"/>
        </w:rPr>
      </w:pPr>
    </w:p>
    <w:p w14:paraId="3D8628EB" w14:textId="77777777" w:rsidR="00E9256C" w:rsidRPr="00A5449C" w:rsidRDefault="00E9256C" w:rsidP="00A5449C">
      <w:pPr>
        <w:pStyle w:val="Heading1"/>
        <w:numPr>
          <w:ilvl w:val="0"/>
          <w:numId w:val="0"/>
        </w:numPr>
        <w:spacing w:before="0"/>
        <w:ind w:left="432" w:hanging="432"/>
        <w:jc w:val="left"/>
        <w:rPr>
          <w:color w:val="002060"/>
          <w:sz w:val="24"/>
          <w:u w:val="none"/>
        </w:rPr>
      </w:pPr>
      <w:r w:rsidRPr="00A5449C">
        <w:rPr>
          <w:color w:val="002060"/>
          <w:sz w:val="24"/>
          <w:u w:val="none"/>
        </w:rPr>
        <w:t>Notification process</w:t>
      </w:r>
    </w:p>
    <w:p w14:paraId="5EDC8F78" w14:textId="77777777" w:rsidR="006B32F3" w:rsidRDefault="00E9256C" w:rsidP="00E9256C">
      <w:r>
        <w:t xml:space="preserve">Upon receipt and review of proposals, DAI will notify successful </w:t>
      </w:r>
      <w:r w:rsidR="0067070E">
        <w:t>vendors</w:t>
      </w:r>
      <w:r>
        <w:t>, if any, who have been selected for pre-qualification.</w:t>
      </w:r>
    </w:p>
    <w:p w14:paraId="4E78CF1A" w14:textId="77777777" w:rsidR="00E9256C" w:rsidRDefault="00E9256C" w:rsidP="00DA61F5"/>
    <w:sectPr w:rsidR="00E9256C" w:rsidSect="00DA61F5">
      <w:headerReference w:type="default" r:id="rId15"/>
      <w:footerReference w:type="default" r:id="rId16"/>
      <w:headerReference w:type="first" r:id="rId17"/>
      <w:footerReference w:type="first" r:id="rId18"/>
      <w:pgSz w:w="11909" w:h="16834" w:code="9"/>
      <w:pgMar w:top="1872" w:right="1440" w:bottom="117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FB65" w14:textId="77777777" w:rsidR="003A5564" w:rsidRDefault="003A5564">
      <w:pPr>
        <w:spacing w:after="0"/>
      </w:pPr>
      <w:r>
        <w:separator/>
      </w:r>
    </w:p>
  </w:endnote>
  <w:endnote w:type="continuationSeparator" w:id="0">
    <w:p w14:paraId="4CFD40E5" w14:textId="77777777" w:rsidR="003A5564" w:rsidRDefault="003A5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7C5A" w14:textId="31B09C7C" w:rsidR="00700652" w:rsidRDefault="00700652" w:rsidP="0095075D">
    <w:pPr>
      <w:pStyle w:val="Footer"/>
    </w:pPr>
    <w:r w:rsidRPr="0095075D">
      <w:rPr>
        <w:rFonts w:ascii="Arial" w:hAnsi="Arial" w:cs="Arial"/>
      </w:rPr>
      <w:t xml:space="preserve">Page </w:t>
    </w:r>
    <w:r w:rsidRPr="0095075D">
      <w:rPr>
        <w:rFonts w:ascii="Arial" w:hAnsi="Arial" w:cs="Arial"/>
      </w:rPr>
      <w:fldChar w:fldCharType="begin"/>
    </w:r>
    <w:r w:rsidRPr="0095075D">
      <w:rPr>
        <w:rFonts w:ascii="Arial" w:hAnsi="Arial" w:cs="Arial"/>
      </w:rPr>
      <w:instrText xml:space="preserve"> PAGE   \* MERGEFORMAT </w:instrText>
    </w:r>
    <w:r w:rsidRPr="0095075D">
      <w:rPr>
        <w:rFonts w:ascii="Arial" w:hAnsi="Arial" w:cs="Arial"/>
      </w:rPr>
      <w:fldChar w:fldCharType="separate"/>
    </w:r>
    <w:r w:rsidR="004B7997">
      <w:rPr>
        <w:rFonts w:ascii="Arial" w:hAnsi="Arial" w:cs="Arial"/>
        <w:noProof/>
      </w:rPr>
      <w:t>3</w:t>
    </w:r>
    <w:r w:rsidRPr="0095075D">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0B0F" w14:textId="237FBFB6" w:rsidR="00700652" w:rsidRPr="0095075D" w:rsidRDefault="00700652" w:rsidP="002B0577">
    <w:pPr>
      <w:pStyle w:val="Footer"/>
      <w:pBdr>
        <w:top w:val="single" w:sz="4" w:space="1" w:color="auto"/>
      </w:pBdr>
      <w:rPr>
        <w:rFonts w:ascii="Arial" w:hAnsi="Arial" w:cs="Arial"/>
      </w:rPr>
    </w:pPr>
    <w:r w:rsidRPr="0095075D">
      <w:rPr>
        <w:rFonts w:ascii="Arial" w:hAnsi="Arial" w:cs="Arial"/>
      </w:rPr>
      <w:t xml:space="preserve">Page </w:t>
    </w:r>
    <w:r w:rsidRPr="0095075D">
      <w:rPr>
        <w:rFonts w:ascii="Arial" w:hAnsi="Arial" w:cs="Arial"/>
      </w:rPr>
      <w:fldChar w:fldCharType="begin"/>
    </w:r>
    <w:r w:rsidRPr="0095075D">
      <w:rPr>
        <w:rFonts w:ascii="Arial" w:hAnsi="Arial" w:cs="Arial"/>
      </w:rPr>
      <w:instrText xml:space="preserve"> PAGE   \* MERGEFORMAT </w:instrText>
    </w:r>
    <w:r w:rsidRPr="0095075D">
      <w:rPr>
        <w:rFonts w:ascii="Arial" w:hAnsi="Arial" w:cs="Arial"/>
      </w:rPr>
      <w:fldChar w:fldCharType="separate"/>
    </w:r>
    <w:r w:rsidR="004B7997">
      <w:rPr>
        <w:rFonts w:ascii="Arial" w:hAnsi="Arial" w:cs="Arial"/>
        <w:noProof/>
      </w:rPr>
      <w:t>1</w:t>
    </w:r>
    <w:r w:rsidRPr="0095075D">
      <w:rPr>
        <w:rFonts w:ascii="Arial" w:hAnsi="Arial" w:cs="Arial"/>
      </w:rPr>
      <w:fldChar w:fldCharType="end"/>
    </w:r>
    <w:r w:rsidRPr="0095075D">
      <w:rPr>
        <w:rFonts w:ascii="Arial" w:hAnsi="Arial" w:cs="Arial"/>
      </w:rPr>
      <w:tab/>
    </w:r>
    <w:r w:rsidRPr="0095075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BA81" w14:textId="77777777" w:rsidR="003A5564" w:rsidRDefault="003A5564">
      <w:pPr>
        <w:spacing w:after="0"/>
      </w:pPr>
      <w:r>
        <w:separator/>
      </w:r>
    </w:p>
  </w:footnote>
  <w:footnote w:type="continuationSeparator" w:id="0">
    <w:p w14:paraId="524B7642" w14:textId="77777777" w:rsidR="003A5564" w:rsidRDefault="003A5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A76E" w14:textId="77777777" w:rsidR="00700652" w:rsidRPr="0095075D" w:rsidRDefault="00700652" w:rsidP="0095075D">
    <w:pPr>
      <w:pStyle w:val="Header"/>
      <w:rPr>
        <w:rFonts w:ascii="Arial" w:hAnsi="Arial" w:cs="Arial"/>
      </w:rPr>
    </w:pPr>
    <w:r>
      <w:tab/>
    </w:r>
    <w:r>
      <w:tab/>
    </w:r>
    <w:r>
      <w:rPr>
        <w:rFonts w:ascii="Arial" w:hAnsi="Arial" w:cs="Arial"/>
      </w:rPr>
      <w:t>DAI</w:t>
    </w:r>
  </w:p>
  <w:p w14:paraId="361303DF" w14:textId="77777777" w:rsidR="00700652" w:rsidRDefault="00700652" w:rsidP="0095075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EF31" w14:textId="5837B311" w:rsidR="00700652" w:rsidRPr="0095075D" w:rsidRDefault="00700652" w:rsidP="0095075D">
    <w:pPr>
      <w:pStyle w:val="Header"/>
      <w:rPr>
        <w:rFonts w:ascii="Arial" w:hAnsi="Arial" w:cs="Arial"/>
      </w:rPr>
    </w:pPr>
    <w:r>
      <w:rPr>
        <w:rFonts w:ascii="Arial" w:hAnsi="Arial" w:cs="Arial"/>
      </w:rPr>
      <w:t>DAI – AVC-HVC</w:t>
    </w:r>
  </w:p>
  <w:p w14:paraId="1240F5F5" w14:textId="1A6D1FD2" w:rsidR="00700652" w:rsidRDefault="00700652" w:rsidP="0095075D">
    <w:pPr>
      <w:pStyle w:val="Header"/>
    </w:pPr>
    <w:r w:rsidRPr="001F0218">
      <w:rPr>
        <w:noProof/>
        <w:sz w:val="20"/>
      </w:rPr>
      <w:drawing>
        <wp:inline distT="0" distB="0" distL="0" distR="0" wp14:anchorId="25457DDC" wp14:editId="1D35222F">
          <wp:extent cx="1085850" cy="276225"/>
          <wp:effectExtent l="0" t="0" r="0" b="0"/>
          <wp:docPr id="1" name="P 1" descr="dai_logo_3c_COATED-jpg-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dai_logo_3c_COATED-jpg-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76225"/>
                  </a:xfrm>
                  <a:prstGeom prst="rect">
                    <a:avLst/>
                  </a:prstGeom>
                  <a:noFill/>
                  <a:ln>
                    <a:noFill/>
                  </a:ln>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035"/>
    <w:multiLevelType w:val="hybridMultilevel"/>
    <w:tmpl w:val="F7F28A56"/>
    <w:lvl w:ilvl="0" w:tplc="5B982F7C">
      <w:start w:val="1"/>
      <w:numFmt w:val="decimal"/>
      <w:pStyle w:val="TE"/>
      <w:lvlText w:val="TE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92E48"/>
    <w:multiLevelType w:val="hybridMultilevel"/>
    <w:tmpl w:val="8FAE8E4A"/>
    <w:lvl w:ilvl="0" w:tplc="3006B212">
      <w:start w:val="1"/>
      <w:numFmt w:val="bullet"/>
      <w:pStyle w:val="Bullets"/>
      <w:lvlText w:val=""/>
      <w:lvlJc w:val="left"/>
      <w:pPr>
        <w:tabs>
          <w:tab w:val="num" w:pos="1080"/>
        </w:tabs>
        <w:ind w:left="1080" w:hanging="360"/>
      </w:pPr>
      <w:rPr>
        <w:rFonts w:ascii="Symbol" w:hAnsi="Symbol" w:hint="default"/>
        <w:b/>
        <w:i w:val="0"/>
        <w:sz w:val="18"/>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7686327"/>
    <w:multiLevelType w:val="hybridMultilevel"/>
    <w:tmpl w:val="428E8C28"/>
    <w:lvl w:ilvl="0" w:tplc="C84E116E">
      <w:start w:val="1"/>
      <w:numFmt w:val="decimal"/>
      <w:pStyle w:val="VP"/>
      <w:lvlText w:val="VP %1."/>
      <w:lvlJc w:val="left"/>
      <w:pPr>
        <w:tabs>
          <w:tab w:val="num" w:pos="1260"/>
        </w:tabs>
        <w:ind w:left="540" w:firstLine="0"/>
      </w:pPr>
      <w:rPr>
        <w:rFonts w:ascii="Times New Roman" w:hAnsi="Times New Roman" w:hint="default"/>
        <w:b w:val="0"/>
        <w:i w:val="0"/>
        <w:sz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09C758EB"/>
    <w:multiLevelType w:val="hybridMultilevel"/>
    <w:tmpl w:val="E82EC1CA"/>
    <w:lvl w:ilvl="0" w:tplc="008E8520">
      <w:start w:val="1"/>
      <w:numFmt w:val="decimal"/>
      <w:pStyle w:val="HLR"/>
      <w:lvlText w:val="F GR-%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5C4C6A"/>
    <w:multiLevelType w:val="hybridMultilevel"/>
    <w:tmpl w:val="AB7679F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0FE02AFA"/>
    <w:multiLevelType w:val="hybridMultilevel"/>
    <w:tmpl w:val="C99CE53E"/>
    <w:lvl w:ilvl="0" w:tplc="16366F9C">
      <w:start w:val="1"/>
      <w:numFmt w:val="decimal"/>
      <w:pStyle w:val="HLRNFR"/>
      <w:lvlText w:val="NF R-%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92835"/>
    <w:multiLevelType w:val="hybridMultilevel"/>
    <w:tmpl w:val="7BBEC128"/>
    <w:lvl w:ilvl="0" w:tplc="14428086">
      <w:start w:val="1"/>
      <w:numFmt w:val="decimal"/>
      <w:pStyle w:val="HLRNFF"/>
      <w:lvlText w:val="NF F-%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2279F0"/>
    <w:multiLevelType w:val="hybridMultilevel"/>
    <w:tmpl w:val="85CEA656"/>
    <w:lvl w:ilvl="0" w:tplc="1924DF96">
      <w:start w:val="1"/>
      <w:numFmt w:val="decimal"/>
      <w:pStyle w:val="HLRGR"/>
      <w:lvlText w:val="F GR-%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492800"/>
    <w:multiLevelType w:val="hybridMultilevel"/>
    <w:tmpl w:val="A3884BC0"/>
    <w:lvl w:ilvl="0" w:tplc="2606145A">
      <w:start w:val="1"/>
      <w:numFmt w:val="decimal"/>
      <w:pStyle w:val="HLRNFM"/>
      <w:lvlText w:val="NF M-%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C64DF"/>
    <w:multiLevelType w:val="hybridMultilevel"/>
    <w:tmpl w:val="028C25F0"/>
    <w:lvl w:ilvl="0" w:tplc="58CE687E">
      <w:start w:val="1"/>
      <w:numFmt w:val="decimal"/>
      <w:pStyle w:val="HLRTPS"/>
      <w:lvlText w:val="F TPS-%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949C1"/>
    <w:multiLevelType w:val="hybridMultilevel"/>
    <w:tmpl w:val="8744C890"/>
    <w:lvl w:ilvl="0" w:tplc="DF7AD504">
      <w:start w:val="1"/>
      <w:numFmt w:val="decimal"/>
      <w:pStyle w:val="ReqWeb"/>
      <w:lvlText w:val="NF W-%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148CF"/>
    <w:multiLevelType w:val="hybridMultilevel"/>
    <w:tmpl w:val="EC344A9E"/>
    <w:lvl w:ilvl="0" w:tplc="9F726D6C">
      <w:start w:val="1"/>
      <w:numFmt w:val="decimal"/>
      <w:pStyle w:val="ReqInterop"/>
      <w:lvlText w:val="NF I-%1."/>
      <w:lvlJc w:val="left"/>
      <w:pPr>
        <w:tabs>
          <w:tab w:val="num" w:pos="108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30840"/>
    <w:multiLevelType w:val="hybridMultilevel"/>
    <w:tmpl w:val="6A7A21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F15DCA"/>
    <w:multiLevelType w:val="hybridMultilevel"/>
    <w:tmpl w:val="1312FA9A"/>
    <w:lvl w:ilvl="0" w:tplc="870EAA26">
      <w:start w:val="1"/>
      <w:numFmt w:val="decimal"/>
      <w:pStyle w:val="HLRReg"/>
      <w:lvlText w:val="F TPR-%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990A99"/>
    <w:multiLevelType w:val="hybridMultilevel"/>
    <w:tmpl w:val="9EA83BDC"/>
    <w:lvl w:ilvl="0" w:tplc="E56852AC">
      <w:start w:val="1"/>
      <w:numFmt w:val="decimal"/>
      <w:pStyle w:val="ReqDesign"/>
      <w:lvlText w:val="NF D-%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0700D"/>
    <w:multiLevelType w:val="hybridMultilevel"/>
    <w:tmpl w:val="08A04B80"/>
    <w:lvl w:ilvl="0" w:tplc="7C8430BE">
      <w:start w:val="1"/>
      <w:numFmt w:val="decimal"/>
      <w:pStyle w:val="HLRNFU"/>
      <w:lvlText w:val="NF U-%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D805E2"/>
    <w:multiLevelType w:val="hybridMultilevel"/>
    <w:tmpl w:val="B4747640"/>
    <w:lvl w:ilvl="0" w:tplc="7ECA86DE">
      <w:start w:val="1"/>
      <w:numFmt w:val="decimal"/>
      <w:pStyle w:val="HLRGL"/>
      <w:lvlText w:val="F G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731F9"/>
    <w:multiLevelType w:val="hybridMultilevel"/>
    <w:tmpl w:val="AFB0A71E"/>
    <w:lvl w:ilvl="0" w:tplc="4F641532">
      <w:start w:val="1"/>
      <w:numFmt w:val="decimal"/>
      <w:pStyle w:val="HLRCOL"/>
      <w:lvlText w:val="F CO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D08B5"/>
    <w:multiLevelType w:val="hybridMultilevel"/>
    <w:tmpl w:val="7804D4B6"/>
    <w:lvl w:ilvl="0" w:tplc="4BDED4BA">
      <w:start w:val="1"/>
      <w:numFmt w:val="decimal"/>
      <w:pStyle w:val="TS"/>
      <w:lvlText w:val="TS %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723D9D"/>
    <w:multiLevelType w:val="hybridMultilevel"/>
    <w:tmpl w:val="E53A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C4B02"/>
    <w:multiLevelType w:val="hybridMultilevel"/>
    <w:tmpl w:val="C598D87E"/>
    <w:lvl w:ilvl="0" w:tplc="1A2A3FB6">
      <w:start w:val="1"/>
      <w:numFmt w:val="decimal"/>
      <w:pStyle w:val="HLRINS"/>
      <w:lvlText w:val="F INS-%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3431B"/>
    <w:multiLevelType w:val="hybridMultilevel"/>
    <w:tmpl w:val="4A82CA68"/>
    <w:lvl w:ilvl="0" w:tplc="C2F235F6">
      <w:start w:val="1"/>
      <w:numFmt w:val="decimal"/>
      <w:pStyle w:val="HLRCI"/>
      <w:lvlText w:val="F CI-%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65157"/>
    <w:multiLevelType w:val="hybridMultilevel"/>
    <w:tmpl w:val="92203ACC"/>
    <w:lvl w:ilvl="0" w:tplc="00000000">
      <w:numFmt w:val="bullet"/>
      <w:pStyle w:val="Bullet1"/>
      <w:lvlText w:val=""/>
      <w:lvlJc w:val="left"/>
      <w:pPr>
        <w:tabs>
          <w:tab w:val="num" w:pos="440"/>
        </w:tabs>
        <w:ind w:left="440" w:hanging="44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E15ED3"/>
    <w:multiLevelType w:val="singleLevel"/>
    <w:tmpl w:val="9DB47D4C"/>
    <w:lvl w:ilvl="0">
      <w:start w:val="1"/>
      <w:numFmt w:val="bullet"/>
      <w:pStyle w:val="Bullet-Level1"/>
      <w:lvlText w:val=""/>
      <w:lvlJc w:val="left"/>
      <w:pPr>
        <w:tabs>
          <w:tab w:val="num" w:pos="720"/>
        </w:tabs>
        <w:ind w:left="720" w:hanging="360"/>
      </w:pPr>
      <w:rPr>
        <w:rFonts w:ascii="Symbol" w:hAnsi="Symbol" w:hint="default"/>
      </w:rPr>
    </w:lvl>
  </w:abstractNum>
  <w:abstractNum w:abstractNumId="24" w15:restartNumberingAfterBreak="0">
    <w:nsid w:val="546E40C6"/>
    <w:multiLevelType w:val="hybridMultilevel"/>
    <w:tmpl w:val="4E907D74"/>
    <w:lvl w:ilvl="0" w:tplc="03C88764">
      <w:start w:val="1"/>
      <w:numFmt w:val="decimal"/>
      <w:pStyle w:val="HLRFRP"/>
      <w:lvlText w:val="F FR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840508"/>
    <w:multiLevelType w:val="hybridMultilevel"/>
    <w:tmpl w:val="4BEA9E38"/>
    <w:lvl w:ilvl="0" w:tplc="070EE82E">
      <w:start w:val="1"/>
      <w:numFmt w:val="decimal"/>
      <w:pStyle w:val="HLRAPP"/>
      <w:lvlText w:val="F AP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9407A"/>
    <w:multiLevelType w:val="hybridMultilevel"/>
    <w:tmpl w:val="8C484176"/>
    <w:lvl w:ilvl="0" w:tplc="E85807B4">
      <w:start w:val="1"/>
      <w:numFmt w:val="decimal"/>
      <w:pStyle w:val="HLRNFE"/>
      <w:lvlText w:val="NF E-%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1F29B9"/>
    <w:multiLevelType w:val="hybridMultilevel"/>
    <w:tmpl w:val="BAFE14C4"/>
    <w:lvl w:ilvl="0" w:tplc="73F856B6">
      <w:start w:val="1"/>
      <w:numFmt w:val="decimal"/>
      <w:pStyle w:val="HLRCOM"/>
      <w:lvlText w:val="F COM-%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867C0C"/>
    <w:multiLevelType w:val="hybridMultilevel"/>
    <w:tmpl w:val="5A2A9904"/>
    <w:lvl w:ilvl="0" w:tplc="0FC2043C">
      <w:start w:val="1"/>
      <w:numFmt w:val="decimal"/>
      <w:pStyle w:val="FS"/>
      <w:lvlText w:val="FS %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015D66"/>
    <w:multiLevelType w:val="hybridMultilevel"/>
    <w:tmpl w:val="B1824654"/>
    <w:lvl w:ilvl="0" w:tplc="BBC05F48">
      <w:start w:val="1"/>
      <w:numFmt w:val="decimal"/>
      <w:pStyle w:val="HLRAUD"/>
      <w:lvlText w:val="F AUD-%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775740"/>
    <w:multiLevelType w:val="hybridMultilevel"/>
    <w:tmpl w:val="CF20A008"/>
    <w:lvl w:ilvl="0" w:tplc="F330006E">
      <w:start w:val="1"/>
      <w:numFmt w:val="decimal"/>
      <w:pStyle w:val="HLRTPA"/>
      <w:lvlText w:val="F TPA-%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E2BAE"/>
    <w:multiLevelType w:val="hybridMultilevel"/>
    <w:tmpl w:val="BC9AF6F6"/>
    <w:lvl w:ilvl="0" w:tplc="49107744">
      <w:start w:val="1"/>
      <w:numFmt w:val="decimal"/>
      <w:pStyle w:val="HLRPP"/>
      <w:lvlText w:val="F P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CC18D8"/>
    <w:multiLevelType w:val="hybridMultilevel"/>
    <w:tmpl w:val="6340EFDE"/>
    <w:lvl w:ilvl="0" w:tplc="80409EEE">
      <w:start w:val="1"/>
      <w:numFmt w:val="decimal"/>
      <w:pStyle w:val="SO"/>
      <w:lvlText w:val="1.%1"/>
      <w:lvlJc w:val="left"/>
      <w:pPr>
        <w:tabs>
          <w:tab w:val="num" w:pos="720"/>
        </w:tabs>
        <w:ind w:left="0" w:firstLine="0"/>
      </w:pPr>
      <w:rPr>
        <w:rFonts w:hint="default"/>
      </w:rPr>
    </w:lvl>
    <w:lvl w:ilvl="1" w:tplc="06EA879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82742E"/>
    <w:multiLevelType w:val="multilevel"/>
    <w:tmpl w:val="D4740B86"/>
    <w:lvl w:ilvl="0">
      <w:start w:val="13"/>
      <w:numFmt w:val="decimal"/>
      <w:suff w:val="space"/>
      <w:lvlText w:val="%1"/>
      <w:lvlJc w:val="left"/>
      <w:pPr>
        <w:ind w:left="432" w:hanging="432"/>
      </w:pPr>
    </w:lvl>
    <w:lvl w:ilvl="1">
      <w:start w:val="1"/>
      <w:numFmt w:val="decimal"/>
      <w:pStyle w:val="Heading2A"/>
      <w:lvlText w:val="%1.%2"/>
      <w:lvlJc w:val="left"/>
      <w:pPr>
        <w:tabs>
          <w:tab w:val="num" w:pos="576"/>
        </w:tabs>
        <w:ind w:left="576" w:hanging="576"/>
      </w:pPr>
      <w:rPr>
        <w:rFonts w:ascii="Arial" w:hAnsi="Arial" w:hint="default"/>
        <w:b/>
        <w:i w:val="0"/>
        <w:sz w:val="28"/>
        <w:u w:val="none"/>
      </w:rPr>
    </w:lvl>
    <w:lvl w:ilvl="2">
      <w:start w:val="1"/>
      <w:numFmt w:val="decimal"/>
      <w:lvlText w:val="%1.%2.%3"/>
      <w:lvlJc w:val="left"/>
      <w:pPr>
        <w:tabs>
          <w:tab w:val="num" w:pos="720"/>
        </w:tabs>
        <w:ind w:left="720" w:hanging="720"/>
      </w:pPr>
      <w:rPr>
        <w:rFonts w:ascii="Arial" w:hAnsi="Arial" w:hint="default"/>
        <w:b/>
        <w:i w:val="0"/>
        <w:sz w:val="24"/>
        <w:u w:val="none"/>
      </w:rPr>
    </w:lvl>
    <w:lvl w:ilvl="3">
      <w:start w:val="1"/>
      <w:numFmt w:val="decimal"/>
      <w:lvlText w:val="%1.%2.%3.%4"/>
      <w:lvlJc w:val="left"/>
      <w:pPr>
        <w:tabs>
          <w:tab w:val="num" w:pos="864"/>
        </w:tabs>
        <w:ind w:left="864" w:hanging="864"/>
      </w:pPr>
    </w:lvl>
    <w:lvl w:ilvl="4">
      <w:start w:val="1"/>
      <w:numFmt w:val="decimal"/>
      <w:lvlText w:val="8.%4.%5"/>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BFB29BA"/>
    <w:multiLevelType w:val="multilevel"/>
    <w:tmpl w:val="E5E060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CD43690"/>
    <w:multiLevelType w:val="hybridMultilevel"/>
    <w:tmpl w:val="FD72AC44"/>
    <w:lvl w:ilvl="0" w:tplc="66E86E9A">
      <w:start w:val="1"/>
      <w:numFmt w:val="decimal"/>
      <w:pStyle w:val="ReqSize"/>
      <w:lvlText w:val="NF S-%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34"/>
  </w:num>
  <w:num w:numId="4">
    <w:abstractNumId w:val="14"/>
  </w:num>
  <w:num w:numId="5">
    <w:abstractNumId w:val="10"/>
  </w:num>
  <w:num w:numId="6">
    <w:abstractNumId w:val="11"/>
  </w:num>
  <w:num w:numId="7">
    <w:abstractNumId w:val="35"/>
  </w:num>
  <w:num w:numId="8">
    <w:abstractNumId w:val="3"/>
  </w:num>
  <w:num w:numId="9">
    <w:abstractNumId w:val="13"/>
  </w:num>
  <w:num w:numId="10">
    <w:abstractNumId w:val="9"/>
  </w:num>
  <w:num w:numId="11">
    <w:abstractNumId w:val="24"/>
  </w:num>
  <w:num w:numId="12">
    <w:abstractNumId w:val="31"/>
  </w:num>
  <w:num w:numId="13">
    <w:abstractNumId w:val="30"/>
  </w:num>
  <w:num w:numId="14">
    <w:abstractNumId w:val="16"/>
  </w:num>
  <w:num w:numId="15">
    <w:abstractNumId w:val="27"/>
  </w:num>
  <w:num w:numId="16">
    <w:abstractNumId w:val="17"/>
  </w:num>
  <w:num w:numId="17">
    <w:abstractNumId w:val="29"/>
  </w:num>
  <w:num w:numId="18">
    <w:abstractNumId w:val="20"/>
  </w:num>
  <w:num w:numId="19">
    <w:abstractNumId w:val="21"/>
  </w:num>
  <w:num w:numId="20">
    <w:abstractNumId w:val="25"/>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15"/>
  </w:num>
  <w:num w:numId="27">
    <w:abstractNumId w:val="26"/>
  </w:num>
  <w:num w:numId="28">
    <w:abstractNumId w:val="8"/>
  </w:num>
  <w:num w:numId="29">
    <w:abstractNumId w:val="2"/>
  </w:num>
  <w:num w:numId="30">
    <w:abstractNumId w:val="32"/>
  </w:num>
  <w:num w:numId="31">
    <w:abstractNumId w:val="0"/>
  </w:num>
  <w:num w:numId="32">
    <w:abstractNumId w:val="18"/>
  </w:num>
  <w:num w:numId="33">
    <w:abstractNumId w:val="28"/>
  </w:num>
  <w:num w:numId="34">
    <w:abstractNumId w:val="12"/>
  </w:num>
  <w:num w:numId="35">
    <w:abstractNumId w:val="19"/>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E"/>
    <w:rsid w:val="00000E54"/>
    <w:rsid w:val="0000262E"/>
    <w:rsid w:val="00011A0E"/>
    <w:rsid w:val="00021993"/>
    <w:rsid w:val="00051F1C"/>
    <w:rsid w:val="000533D3"/>
    <w:rsid w:val="000810BC"/>
    <w:rsid w:val="0008694E"/>
    <w:rsid w:val="000A1612"/>
    <w:rsid w:val="000E5143"/>
    <w:rsid w:val="001015CF"/>
    <w:rsid w:val="00135171"/>
    <w:rsid w:val="00144EFF"/>
    <w:rsid w:val="00153C7A"/>
    <w:rsid w:val="00157294"/>
    <w:rsid w:val="00187436"/>
    <w:rsid w:val="001A3BB6"/>
    <w:rsid w:val="001A6F19"/>
    <w:rsid w:val="001D41F0"/>
    <w:rsid w:val="001D683E"/>
    <w:rsid w:val="001E0BBD"/>
    <w:rsid w:val="001E41F7"/>
    <w:rsid w:val="00214BF7"/>
    <w:rsid w:val="00224F45"/>
    <w:rsid w:val="00227727"/>
    <w:rsid w:val="00227DFD"/>
    <w:rsid w:val="00240C06"/>
    <w:rsid w:val="00250BC7"/>
    <w:rsid w:val="002732EB"/>
    <w:rsid w:val="00297CAE"/>
    <w:rsid w:val="002A39B3"/>
    <w:rsid w:val="002B0577"/>
    <w:rsid w:val="002C0CB3"/>
    <w:rsid w:val="002C6010"/>
    <w:rsid w:val="002D5B2B"/>
    <w:rsid w:val="003565F9"/>
    <w:rsid w:val="003569DC"/>
    <w:rsid w:val="00372BCD"/>
    <w:rsid w:val="003A5564"/>
    <w:rsid w:val="003B5291"/>
    <w:rsid w:val="003D20B3"/>
    <w:rsid w:val="003E3645"/>
    <w:rsid w:val="00404E08"/>
    <w:rsid w:val="00406BEA"/>
    <w:rsid w:val="0042603D"/>
    <w:rsid w:val="0046478F"/>
    <w:rsid w:val="00470EF8"/>
    <w:rsid w:val="00473FF6"/>
    <w:rsid w:val="004862E4"/>
    <w:rsid w:val="004964C2"/>
    <w:rsid w:val="004965F1"/>
    <w:rsid w:val="004B7997"/>
    <w:rsid w:val="004D157B"/>
    <w:rsid w:val="004D40EC"/>
    <w:rsid w:val="00533F84"/>
    <w:rsid w:val="005343EE"/>
    <w:rsid w:val="00543289"/>
    <w:rsid w:val="00544157"/>
    <w:rsid w:val="005612C4"/>
    <w:rsid w:val="0057270E"/>
    <w:rsid w:val="00592DAD"/>
    <w:rsid w:val="00593A5F"/>
    <w:rsid w:val="005B589C"/>
    <w:rsid w:val="005D1D96"/>
    <w:rsid w:val="00602FA1"/>
    <w:rsid w:val="00603185"/>
    <w:rsid w:val="006032DF"/>
    <w:rsid w:val="0061256B"/>
    <w:rsid w:val="00625393"/>
    <w:rsid w:val="00647646"/>
    <w:rsid w:val="0066794A"/>
    <w:rsid w:val="0067070E"/>
    <w:rsid w:val="0069521C"/>
    <w:rsid w:val="00695EF9"/>
    <w:rsid w:val="006B32F3"/>
    <w:rsid w:val="006C0754"/>
    <w:rsid w:val="006C1592"/>
    <w:rsid w:val="006C2C55"/>
    <w:rsid w:val="006E598C"/>
    <w:rsid w:val="006E7AE3"/>
    <w:rsid w:val="00700652"/>
    <w:rsid w:val="007077F7"/>
    <w:rsid w:val="00707CC5"/>
    <w:rsid w:val="007131EC"/>
    <w:rsid w:val="00726FAC"/>
    <w:rsid w:val="007521EC"/>
    <w:rsid w:val="0075594B"/>
    <w:rsid w:val="007672E1"/>
    <w:rsid w:val="00767338"/>
    <w:rsid w:val="00782DA0"/>
    <w:rsid w:val="007A0EF5"/>
    <w:rsid w:val="007D6DD1"/>
    <w:rsid w:val="008A4560"/>
    <w:rsid w:val="008C063C"/>
    <w:rsid w:val="008C5D77"/>
    <w:rsid w:val="008D2116"/>
    <w:rsid w:val="008E2772"/>
    <w:rsid w:val="0090209C"/>
    <w:rsid w:val="009130A1"/>
    <w:rsid w:val="00920210"/>
    <w:rsid w:val="00944173"/>
    <w:rsid w:val="0095075D"/>
    <w:rsid w:val="0097106D"/>
    <w:rsid w:val="009806E8"/>
    <w:rsid w:val="009862DC"/>
    <w:rsid w:val="00994EAE"/>
    <w:rsid w:val="00996592"/>
    <w:rsid w:val="009B34ED"/>
    <w:rsid w:val="009C6F0E"/>
    <w:rsid w:val="009F4293"/>
    <w:rsid w:val="00A21FA4"/>
    <w:rsid w:val="00A22EEE"/>
    <w:rsid w:val="00A24FBC"/>
    <w:rsid w:val="00A26D5B"/>
    <w:rsid w:val="00A30985"/>
    <w:rsid w:val="00A519FD"/>
    <w:rsid w:val="00A5287D"/>
    <w:rsid w:val="00A5449C"/>
    <w:rsid w:val="00A745D5"/>
    <w:rsid w:val="00A86E5B"/>
    <w:rsid w:val="00A93EC0"/>
    <w:rsid w:val="00AB26A3"/>
    <w:rsid w:val="00AD55D1"/>
    <w:rsid w:val="00AD7F89"/>
    <w:rsid w:val="00B0030F"/>
    <w:rsid w:val="00B02450"/>
    <w:rsid w:val="00B04747"/>
    <w:rsid w:val="00B10430"/>
    <w:rsid w:val="00B17F46"/>
    <w:rsid w:val="00B22EF0"/>
    <w:rsid w:val="00B33AD8"/>
    <w:rsid w:val="00B43483"/>
    <w:rsid w:val="00B61A76"/>
    <w:rsid w:val="00B70F7E"/>
    <w:rsid w:val="00B836F5"/>
    <w:rsid w:val="00B84BA2"/>
    <w:rsid w:val="00B94EAA"/>
    <w:rsid w:val="00BF5408"/>
    <w:rsid w:val="00BF5B28"/>
    <w:rsid w:val="00C119B0"/>
    <w:rsid w:val="00C32C10"/>
    <w:rsid w:val="00C625A7"/>
    <w:rsid w:val="00C6418E"/>
    <w:rsid w:val="00C73F22"/>
    <w:rsid w:val="00CE1DF5"/>
    <w:rsid w:val="00D16BAC"/>
    <w:rsid w:val="00D408BB"/>
    <w:rsid w:val="00D417E0"/>
    <w:rsid w:val="00D627B6"/>
    <w:rsid w:val="00D70E5F"/>
    <w:rsid w:val="00D73AA1"/>
    <w:rsid w:val="00D82C5A"/>
    <w:rsid w:val="00DA1C84"/>
    <w:rsid w:val="00DA61F5"/>
    <w:rsid w:val="00DA7983"/>
    <w:rsid w:val="00DB61E3"/>
    <w:rsid w:val="00DE169B"/>
    <w:rsid w:val="00E10D04"/>
    <w:rsid w:val="00E11986"/>
    <w:rsid w:val="00E149EA"/>
    <w:rsid w:val="00E17C72"/>
    <w:rsid w:val="00E21AF0"/>
    <w:rsid w:val="00E46D2F"/>
    <w:rsid w:val="00E65115"/>
    <w:rsid w:val="00E87F0A"/>
    <w:rsid w:val="00E9256C"/>
    <w:rsid w:val="00E96656"/>
    <w:rsid w:val="00EC5B3A"/>
    <w:rsid w:val="00EF63BF"/>
    <w:rsid w:val="00F02064"/>
    <w:rsid w:val="00F1416C"/>
    <w:rsid w:val="00F319DE"/>
    <w:rsid w:val="00F46ED3"/>
    <w:rsid w:val="00F903C6"/>
    <w:rsid w:val="00FA42AC"/>
    <w:rsid w:val="00FC09F7"/>
    <w:rsid w:val="00FC7EC3"/>
    <w:rsid w:val="00FF6C26"/>
    <w:rsid w:val="00FF7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926F0"/>
  <w15:chartTrackingRefBased/>
  <w15:docId w15:val="{372C5AA8-94DC-4F46-920D-78D281C5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jc w:val="both"/>
    </w:pPr>
    <w:rPr>
      <w:sz w:val="24"/>
      <w:szCs w:val="24"/>
    </w:rPr>
  </w:style>
  <w:style w:type="paragraph" w:styleId="Heading1">
    <w:name w:val="heading 1"/>
    <w:aliases w:val="Heading 1BearingPoint  Level 1"/>
    <w:basedOn w:val="Normal"/>
    <w:next w:val="Normal"/>
    <w:qFormat/>
    <w:pPr>
      <w:keepNext/>
      <w:numPr>
        <w:numId w:val="3"/>
      </w:numPr>
      <w:tabs>
        <w:tab w:val="left" w:pos="2160"/>
      </w:tabs>
      <w:spacing w:before="60"/>
      <w:jc w:val="center"/>
      <w:outlineLvl w:val="0"/>
    </w:pPr>
    <w:rPr>
      <w:b/>
      <w:smallCaps/>
      <w:kern w:val="28"/>
      <w:sz w:val="32"/>
      <w:szCs w:val="20"/>
      <w:u w:val="single"/>
    </w:rPr>
  </w:style>
  <w:style w:type="paragraph" w:styleId="Heading2">
    <w:name w:val="heading 2"/>
    <w:aliases w:val="BearingPoint Level 2"/>
    <w:basedOn w:val="Normal"/>
    <w:next w:val="Normal"/>
    <w:qFormat/>
    <w:pPr>
      <w:keepNext/>
      <w:numPr>
        <w:ilvl w:val="1"/>
        <w:numId w:val="3"/>
      </w:numPr>
      <w:tabs>
        <w:tab w:val="left" w:pos="2160"/>
      </w:tabs>
      <w:spacing w:before="120"/>
      <w:outlineLvl w:val="1"/>
    </w:pPr>
    <w:rPr>
      <w:b/>
      <w:smallCaps/>
      <w:sz w:val="28"/>
      <w:szCs w:val="20"/>
    </w:rPr>
  </w:style>
  <w:style w:type="paragraph" w:styleId="Heading3">
    <w:name w:val="heading 3"/>
    <w:aliases w:val="BearingPoint Level 3,h3"/>
    <w:basedOn w:val="Normal"/>
    <w:next w:val="Normal"/>
    <w:autoRedefine/>
    <w:qFormat/>
    <w:pPr>
      <w:keepNext/>
      <w:numPr>
        <w:ilvl w:val="2"/>
        <w:numId w:val="3"/>
      </w:numPr>
      <w:tabs>
        <w:tab w:val="left" w:pos="2160"/>
      </w:tabs>
      <w:spacing w:before="120"/>
      <w:outlineLvl w:val="2"/>
    </w:pPr>
    <w:rPr>
      <w:i/>
      <w:smallCaps/>
      <w:color w:val="000000"/>
      <w:szCs w:val="20"/>
    </w:rPr>
  </w:style>
  <w:style w:type="paragraph" w:styleId="Heading4">
    <w:name w:val="heading 4"/>
    <w:basedOn w:val="Normal"/>
    <w:next w:val="Normal"/>
    <w:link w:val="Heading4Char"/>
    <w:qFormat/>
    <w:pPr>
      <w:keepNext/>
      <w:tabs>
        <w:tab w:val="left" w:pos="2160"/>
      </w:tabs>
      <w:spacing w:before="240"/>
      <w:outlineLvl w:val="3"/>
    </w:pPr>
    <w:rPr>
      <w:b/>
      <w:szCs w:val="20"/>
    </w:rPr>
  </w:style>
  <w:style w:type="paragraph" w:styleId="Heading5">
    <w:name w:val="heading 5"/>
    <w:aliases w:val="Reference(s):"/>
    <w:basedOn w:val="Normal"/>
    <w:next w:val="Normal"/>
    <w:qFormat/>
    <w:pPr>
      <w:numPr>
        <w:ilvl w:val="4"/>
        <w:numId w:val="3"/>
      </w:numPr>
      <w:tabs>
        <w:tab w:val="left" w:pos="720"/>
        <w:tab w:val="left" w:pos="2160"/>
      </w:tabs>
      <w:spacing w:before="240"/>
      <w:outlineLvl w:val="4"/>
    </w:pPr>
    <w:rPr>
      <w:szCs w:val="20"/>
    </w:rPr>
  </w:style>
  <w:style w:type="paragraph" w:styleId="Heading6">
    <w:name w:val="heading 6"/>
    <w:basedOn w:val="Normal"/>
    <w:next w:val="Normal"/>
    <w:qFormat/>
    <w:pPr>
      <w:numPr>
        <w:ilvl w:val="5"/>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line="240" w:lineRule="atLeast"/>
      <w:outlineLvl w:val="5"/>
    </w:pPr>
    <w:rPr>
      <w:rFonts w:ascii="Helvetica" w:hAnsi="Helvetica"/>
      <w:b/>
      <w:i/>
      <w:sz w:val="20"/>
      <w:szCs w:val="20"/>
    </w:rPr>
  </w:style>
  <w:style w:type="paragraph" w:styleId="Heading7">
    <w:name w:val="heading 7"/>
    <w:basedOn w:val="Normal"/>
    <w:next w:val="Normal"/>
    <w:qFormat/>
    <w:pPr>
      <w:numPr>
        <w:ilvl w:val="6"/>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line="240" w:lineRule="atLeast"/>
      <w:outlineLvl w:val="6"/>
    </w:pPr>
    <w:rPr>
      <w:rFonts w:ascii="Helvetica" w:hAnsi="Helvetica"/>
      <w:sz w:val="20"/>
      <w:szCs w:val="20"/>
    </w:rPr>
  </w:style>
  <w:style w:type="paragraph" w:styleId="Heading8">
    <w:name w:val="heading 8"/>
    <w:basedOn w:val="Normal"/>
    <w:next w:val="Normal"/>
    <w:qFormat/>
    <w:pPr>
      <w:keepNext/>
      <w:numPr>
        <w:ilvl w:val="7"/>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line="240" w:lineRule="atLeast"/>
      <w:outlineLvl w:val="7"/>
    </w:pPr>
    <w:rPr>
      <w:rFonts w:ascii="Helvetica" w:hAnsi="Helvetica"/>
      <w:b/>
      <w:snapToGrid w:val="0"/>
      <w:color w:val="000000"/>
      <w:sz w:val="20"/>
      <w:szCs w:val="20"/>
    </w:rPr>
  </w:style>
  <w:style w:type="paragraph" w:styleId="Heading9">
    <w:name w:val="heading 9"/>
    <w:basedOn w:val="Normal"/>
    <w:next w:val="Normal"/>
    <w:qFormat/>
    <w:pPr>
      <w:numPr>
        <w:ilvl w:val="8"/>
        <w:numId w:val="3"/>
      </w:numPr>
      <w:spacing w:before="24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evel1">
    <w:name w:val="Bullet - Level 1"/>
    <w:basedOn w:val="Heading9"/>
    <w:autoRedefine/>
    <w:pPr>
      <w:numPr>
        <w:ilvl w:val="0"/>
        <w:numId w:val="1"/>
      </w:numPr>
      <w:spacing w:before="0" w:after="40"/>
    </w:pPr>
    <w:rPr>
      <w:b w:val="0"/>
      <w:i w:val="0"/>
      <w:color w:val="000000"/>
      <w:sz w:val="20"/>
    </w:rPr>
  </w:style>
  <w:style w:type="paragraph" w:customStyle="1" w:styleId="Heading2A">
    <w:name w:val="Heading 2A"/>
    <w:basedOn w:val="Heading2"/>
    <w:pPr>
      <w:numPr>
        <w:numId w:val="2"/>
      </w:numPr>
    </w:pPr>
  </w:style>
  <w:style w:type="paragraph" w:customStyle="1" w:styleId="ReqDesign">
    <w:name w:val="ReqDesign"/>
    <w:basedOn w:val="Normal"/>
    <w:pPr>
      <w:numPr>
        <w:numId w:val="4"/>
      </w:numPr>
      <w:tabs>
        <w:tab w:val="left" w:pos="2160"/>
      </w:tabs>
    </w:pPr>
    <w:rPr>
      <w:sz w:val="20"/>
      <w:szCs w:val="20"/>
    </w:rPr>
  </w:style>
  <w:style w:type="paragraph" w:customStyle="1" w:styleId="ReqWeb">
    <w:name w:val="ReqWeb"/>
    <w:basedOn w:val="Requirement"/>
    <w:pPr>
      <w:numPr>
        <w:numId w:val="5"/>
      </w:numPr>
    </w:pPr>
  </w:style>
  <w:style w:type="paragraph" w:customStyle="1" w:styleId="Requirement">
    <w:name w:val="Requirement"/>
    <w:basedOn w:val="Normal"/>
    <w:pPr>
      <w:tabs>
        <w:tab w:val="left" w:pos="2160"/>
      </w:tabs>
    </w:pPr>
    <w:rPr>
      <w:sz w:val="20"/>
      <w:szCs w:val="20"/>
    </w:rPr>
  </w:style>
  <w:style w:type="paragraph" w:customStyle="1" w:styleId="ReqInterop">
    <w:name w:val="ReqInterop"/>
    <w:basedOn w:val="Rqmt"/>
    <w:pPr>
      <w:numPr>
        <w:numId w:val="6"/>
      </w:numPr>
    </w:pPr>
    <w:rPr>
      <w:rFonts w:ascii="Times New Roman" w:hAnsi="Times New Roman"/>
    </w:rPr>
  </w:style>
  <w:style w:type="paragraph" w:customStyle="1" w:styleId="Rqmt">
    <w:name w:val="Rqmt"/>
    <w:pPr>
      <w:keepLines/>
      <w:tabs>
        <w:tab w:val="right" w:pos="1296"/>
        <w:tab w:val="left" w:pos="1440"/>
        <w:tab w:val="left" w:pos="1728"/>
        <w:tab w:val="left" w:pos="2016"/>
      </w:tabs>
      <w:ind w:left="1440" w:hanging="1440"/>
    </w:pPr>
    <w:rPr>
      <w:rFonts w:ascii="Helv" w:hAnsi="Helv"/>
      <w:color w:val="000000"/>
    </w:rPr>
  </w:style>
  <w:style w:type="paragraph" w:customStyle="1" w:styleId="ReqSize">
    <w:name w:val="ReqSize"/>
    <w:basedOn w:val="Requirement"/>
    <w:pPr>
      <w:numPr>
        <w:numId w:val="7"/>
      </w:numPr>
    </w:pPr>
  </w:style>
  <w:style w:type="paragraph" w:customStyle="1" w:styleId="HLR">
    <w:name w:val="HLR"/>
    <w:basedOn w:val="Normal"/>
    <w:pPr>
      <w:numPr>
        <w:numId w:val="8"/>
      </w:numPr>
      <w:tabs>
        <w:tab w:val="left" w:pos="2160"/>
      </w:tabs>
    </w:pPr>
    <w:rPr>
      <w:sz w:val="20"/>
      <w:szCs w:val="20"/>
    </w:rPr>
  </w:style>
  <w:style w:type="paragraph" w:customStyle="1" w:styleId="HLRReg">
    <w:name w:val="HLR Reg"/>
    <w:basedOn w:val="Normal"/>
    <w:pPr>
      <w:numPr>
        <w:numId w:val="9"/>
      </w:numPr>
      <w:tabs>
        <w:tab w:val="left" w:pos="2160"/>
      </w:tabs>
    </w:pPr>
    <w:rPr>
      <w:sz w:val="20"/>
      <w:szCs w:val="22"/>
    </w:rPr>
  </w:style>
  <w:style w:type="paragraph" w:customStyle="1" w:styleId="HLRTPS">
    <w:name w:val="HLR TPS"/>
    <w:basedOn w:val="Normal"/>
    <w:pPr>
      <w:numPr>
        <w:numId w:val="10"/>
      </w:numPr>
      <w:tabs>
        <w:tab w:val="left" w:pos="2160"/>
      </w:tabs>
    </w:pPr>
    <w:rPr>
      <w:sz w:val="20"/>
      <w:szCs w:val="22"/>
    </w:rPr>
  </w:style>
  <w:style w:type="paragraph" w:customStyle="1" w:styleId="HLRFRP">
    <w:name w:val="HLR FRP"/>
    <w:basedOn w:val="Normal"/>
    <w:pPr>
      <w:numPr>
        <w:numId w:val="11"/>
      </w:numPr>
      <w:tabs>
        <w:tab w:val="left" w:pos="2160"/>
      </w:tabs>
    </w:pPr>
    <w:rPr>
      <w:sz w:val="20"/>
      <w:szCs w:val="20"/>
    </w:rPr>
  </w:style>
  <w:style w:type="paragraph" w:customStyle="1" w:styleId="HLRPP">
    <w:name w:val="HLR PP"/>
    <w:basedOn w:val="Normal"/>
    <w:pPr>
      <w:numPr>
        <w:numId w:val="12"/>
      </w:numPr>
      <w:tabs>
        <w:tab w:val="clear" w:pos="0"/>
      </w:tabs>
    </w:pPr>
    <w:rPr>
      <w:sz w:val="20"/>
      <w:szCs w:val="22"/>
    </w:rPr>
  </w:style>
  <w:style w:type="paragraph" w:customStyle="1" w:styleId="HLRTPA">
    <w:name w:val="HLR TPA"/>
    <w:basedOn w:val="Normal"/>
    <w:pPr>
      <w:numPr>
        <w:numId w:val="13"/>
      </w:numPr>
      <w:tabs>
        <w:tab w:val="left" w:pos="2160"/>
      </w:tabs>
    </w:pPr>
    <w:rPr>
      <w:sz w:val="20"/>
      <w:szCs w:val="20"/>
    </w:rPr>
  </w:style>
  <w:style w:type="paragraph" w:customStyle="1" w:styleId="HLRGL">
    <w:name w:val="HLR GL"/>
    <w:basedOn w:val="Normal"/>
    <w:pPr>
      <w:numPr>
        <w:numId w:val="14"/>
      </w:numPr>
      <w:tabs>
        <w:tab w:val="left" w:pos="2160"/>
      </w:tabs>
    </w:pPr>
    <w:rPr>
      <w:sz w:val="20"/>
      <w:szCs w:val="20"/>
    </w:rPr>
  </w:style>
  <w:style w:type="paragraph" w:customStyle="1" w:styleId="HLRCOM">
    <w:name w:val="HLR COM"/>
    <w:basedOn w:val="Normal"/>
    <w:pPr>
      <w:numPr>
        <w:numId w:val="15"/>
      </w:numPr>
      <w:tabs>
        <w:tab w:val="left" w:pos="2160"/>
      </w:tabs>
    </w:pPr>
    <w:rPr>
      <w:bCs/>
      <w:sz w:val="20"/>
      <w:szCs w:val="20"/>
    </w:rPr>
  </w:style>
  <w:style w:type="paragraph" w:customStyle="1" w:styleId="HLRCOL">
    <w:name w:val="HLR COL"/>
    <w:basedOn w:val="Normal"/>
    <w:pPr>
      <w:numPr>
        <w:numId w:val="16"/>
      </w:numPr>
      <w:tabs>
        <w:tab w:val="left" w:pos="2160"/>
      </w:tabs>
    </w:pPr>
    <w:rPr>
      <w:sz w:val="19"/>
      <w:szCs w:val="20"/>
    </w:rPr>
  </w:style>
  <w:style w:type="paragraph" w:customStyle="1" w:styleId="HLRAUD">
    <w:name w:val="HLR AUD"/>
    <w:basedOn w:val="Normal"/>
    <w:pPr>
      <w:numPr>
        <w:numId w:val="17"/>
      </w:numPr>
      <w:tabs>
        <w:tab w:val="left" w:pos="2160"/>
      </w:tabs>
    </w:pPr>
    <w:rPr>
      <w:bCs/>
      <w:sz w:val="19"/>
      <w:szCs w:val="20"/>
    </w:rPr>
  </w:style>
  <w:style w:type="paragraph" w:customStyle="1" w:styleId="HLRINS">
    <w:name w:val="HLR INS"/>
    <w:basedOn w:val="Normal"/>
    <w:pPr>
      <w:numPr>
        <w:numId w:val="18"/>
      </w:numPr>
      <w:tabs>
        <w:tab w:val="left" w:pos="2160"/>
      </w:tabs>
    </w:pPr>
    <w:rPr>
      <w:bCs/>
      <w:sz w:val="20"/>
      <w:szCs w:val="20"/>
    </w:rPr>
  </w:style>
  <w:style w:type="paragraph" w:customStyle="1" w:styleId="HLRCI">
    <w:name w:val="HLR CI"/>
    <w:basedOn w:val="Normal"/>
    <w:pPr>
      <w:numPr>
        <w:numId w:val="19"/>
      </w:numPr>
      <w:tabs>
        <w:tab w:val="left" w:pos="2160"/>
      </w:tabs>
    </w:pPr>
    <w:rPr>
      <w:sz w:val="20"/>
      <w:szCs w:val="20"/>
    </w:rPr>
  </w:style>
  <w:style w:type="paragraph" w:customStyle="1" w:styleId="HLRAPP">
    <w:name w:val="HLR APP"/>
    <w:basedOn w:val="Normal"/>
    <w:pPr>
      <w:numPr>
        <w:numId w:val="20"/>
      </w:numPr>
      <w:tabs>
        <w:tab w:val="left" w:pos="2160"/>
      </w:tabs>
    </w:pPr>
    <w:rPr>
      <w:sz w:val="20"/>
      <w:szCs w:val="20"/>
    </w:rPr>
  </w:style>
  <w:style w:type="paragraph" w:customStyle="1" w:styleId="Bullets">
    <w:name w:val="Bullets"/>
    <w:pPr>
      <w:numPr>
        <w:numId w:val="21"/>
      </w:numPr>
      <w:spacing w:before="160" w:after="160"/>
      <w:jc w:val="both"/>
    </w:pPr>
    <w:rPr>
      <w:sz w:val="24"/>
      <w:lang w:val="en-GB"/>
    </w:rPr>
  </w:style>
  <w:style w:type="paragraph" w:customStyle="1" w:styleId="HLRGR">
    <w:name w:val="HLR GR"/>
    <w:basedOn w:val="Normal"/>
    <w:pPr>
      <w:numPr>
        <w:numId w:val="22"/>
      </w:numPr>
      <w:tabs>
        <w:tab w:val="left" w:pos="2160"/>
      </w:tabs>
    </w:pPr>
    <w:rPr>
      <w:sz w:val="20"/>
      <w:szCs w:val="20"/>
    </w:rPr>
  </w:style>
  <w:style w:type="paragraph" w:customStyle="1" w:styleId="Bullet1">
    <w:name w:val="*Bullet 1"/>
    <w:basedOn w:val="Normal"/>
    <w:pPr>
      <w:numPr>
        <w:numId w:val="23"/>
      </w:numPr>
    </w:pPr>
  </w:style>
  <w:style w:type="paragraph" w:customStyle="1" w:styleId="HLRNFF">
    <w:name w:val="HLR NF F"/>
    <w:basedOn w:val="Normal"/>
    <w:pPr>
      <w:numPr>
        <w:numId w:val="24"/>
      </w:numPr>
      <w:tabs>
        <w:tab w:val="left" w:pos="2160"/>
      </w:tabs>
    </w:pPr>
    <w:rPr>
      <w:sz w:val="20"/>
      <w:szCs w:val="20"/>
    </w:rPr>
  </w:style>
  <w:style w:type="paragraph" w:customStyle="1" w:styleId="HLRNFR">
    <w:name w:val="HLR NF R"/>
    <w:basedOn w:val="Normal"/>
    <w:pPr>
      <w:numPr>
        <w:numId w:val="25"/>
      </w:numPr>
      <w:tabs>
        <w:tab w:val="left" w:pos="2160"/>
      </w:tabs>
    </w:pPr>
    <w:rPr>
      <w:sz w:val="20"/>
      <w:szCs w:val="20"/>
    </w:rPr>
  </w:style>
  <w:style w:type="paragraph" w:customStyle="1" w:styleId="HLRNFU">
    <w:name w:val="HLR NF U"/>
    <w:basedOn w:val="Normal"/>
    <w:pPr>
      <w:numPr>
        <w:numId w:val="26"/>
      </w:numPr>
      <w:tabs>
        <w:tab w:val="left" w:pos="2160"/>
      </w:tabs>
    </w:pPr>
    <w:rPr>
      <w:sz w:val="20"/>
      <w:szCs w:val="20"/>
    </w:rPr>
  </w:style>
  <w:style w:type="paragraph" w:customStyle="1" w:styleId="HLRNFE">
    <w:name w:val="HLR NF E"/>
    <w:basedOn w:val="Normal"/>
    <w:pPr>
      <w:numPr>
        <w:numId w:val="27"/>
      </w:numPr>
      <w:tabs>
        <w:tab w:val="left" w:pos="2160"/>
      </w:tabs>
    </w:pPr>
    <w:rPr>
      <w:sz w:val="20"/>
      <w:szCs w:val="20"/>
    </w:rPr>
  </w:style>
  <w:style w:type="paragraph" w:customStyle="1" w:styleId="HLRNFM">
    <w:name w:val="HLR NF M"/>
    <w:basedOn w:val="Normal"/>
    <w:pPr>
      <w:numPr>
        <w:numId w:val="28"/>
      </w:numPr>
      <w:tabs>
        <w:tab w:val="left" w:pos="2160"/>
      </w:tabs>
    </w:pPr>
    <w:rPr>
      <w:sz w:val="20"/>
      <w:szCs w:val="20"/>
    </w:rPr>
  </w:style>
  <w:style w:type="paragraph" w:customStyle="1" w:styleId="BearingPointTitle-Level1">
    <w:name w:val="BearingPoint Title-Level 1"/>
    <w:basedOn w:val="Normal"/>
    <w:pPr>
      <w:tabs>
        <w:tab w:val="left" w:pos="2160"/>
      </w:tabs>
      <w:suppressAutoHyphens/>
      <w:jc w:val="center"/>
    </w:pPr>
    <w:rPr>
      <w:smallCaps/>
      <w:sz w:val="32"/>
      <w:szCs w:val="20"/>
      <w:u w:val="single"/>
      <w14:shadow w14:blurRad="50800" w14:dist="38100" w14:dir="2700000" w14:sx="100000" w14:sy="100000" w14:kx="0" w14:ky="0" w14:algn="tl">
        <w14:srgbClr w14:val="000000">
          <w14:alpha w14:val="60000"/>
        </w14:srgbClr>
      </w14:shadow>
    </w:rPr>
  </w:style>
  <w:style w:type="paragraph" w:styleId="IndexHeading">
    <w:name w:val="index heading"/>
    <w:basedOn w:val="Normal"/>
    <w:next w:val="Index1"/>
    <w:semiHidden/>
    <w:pPr>
      <w:tabs>
        <w:tab w:val="left" w:pos="2160"/>
      </w:tabs>
    </w:pPr>
    <w:rPr>
      <w:szCs w:val="20"/>
    </w:rPr>
  </w:style>
  <w:style w:type="paragraph" w:styleId="Index1">
    <w:name w:val="index 1"/>
    <w:basedOn w:val="Normal"/>
    <w:next w:val="Normal"/>
    <w:autoRedefine/>
    <w:semiHidden/>
    <w:pPr>
      <w:ind w:left="220" w:hanging="220"/>
    </w:pPr>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470EF8"/>
    <w:pPr>
      <w:tabs>
        <w:tab w:val="left" w:pos="660"/>
        <w:tab w:val="right" w:leader="dot" w:pos="9350"/>
      </w:tabs>
      <w:spacing w:before="120" w:after="120"/>
      <w:jc w:val="left"/>
    </w:pPr>
    <w:rPr>
      <w:b/>
      <w:noProof/>
    </w:rPr>
  </w:style>
  <w:style w:type="paragraph" w:styleId="TOC2">
    <w:name w:val="toc 2"/>
    <w:basedOn w:val="Normal"/>
    <w:next w:val="Normal"/>
    <w:autoRedefine/>
    <w:uiPriority w:val="39"/>
    <w:pPr>
      <w:ind w:left="220"/>
    </w:pPr>
    <w:rPr>
      <w:smallCaps/>
    </w:rPr>
  </w:style>
  <w:style w:type="paragraph" w:styleId="TOC3">
    <w:name w:val="toc 3"/>
    <w:basedOn w:val="Normal"/>
    <w:next w:val="Normal"/>
    <w:autoRedefine/>
    <w:uiPriority w:val="39"/>
    <w:pPr>
      <w:ind w:left="440"/>
    </w:pPr>
    <w:rPr>
      <w:i/>
      <w:iCs/>
    </w:rPr>
  </w:style>
  <w:style w:type="paragraph" w:styleId="BlockText">
    <w:name w:val="Block Text"/>
    <w:basedOn w:val="Normal"/>
    <w:pPr>
      <w:ind w:left="720" w:right="659"/>
    </w:pPr>
    <w:rPr>
      <w:i/>
      <w:iCs/>
      <w:sz w:val="22"/>
      <w:szCs w:val="17"/>
    </w:rPr>
  </w:style>
  <w:style w:type="character" w:styleId="FootnoteReference">
    <w:name w:val="footnote reference"/>
    <w:aliases w:val="BearingPoint"/>
    <w:semiHidden/>
    <w:rPr>
      <w:rFonts w:ascii="Arial" w:hAnsi="Arial"/>
      <w:vertAlign w:val="superscript"/>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pPr>
      <w:overflowPunct w:val="0"/>
      <w:autoSpaceDE w:val="0"/>
      <w:autoSpaceDN w:val="0"/>
      <w:adjustRightInd w:val="0"/>
      <w:ind w:left="720" w:hanging="720"/>
      <w:textAlignment w:val="baseline"/>
    </w:pPr>
    <w:rPr>
      <w:szCs w:val="20"/>
    </w:rPr>
  </w:style>
  <w:style w:type="paragraph" w:customStyle="1" w:styleId="WDOR-Caption">
    <w:name w:val="WDOR-Caption"/>
    <w:basedOn w:val="Normal"/>
    <w:autoRedefine/>
    <w:pPr>
      <w:numPr>
        <w:ilvl w:val="12"/>
      </w:numPr>
      <w:tabs>
        <w:tab w:val="left" w:pos="2160"/>
      </w:tabs>
      <w:jc w:val="center"/>
    </w:pPr>
    <w:rPr>
      <w:b/>
      <w:bCs/>
      <w:szCs w:val="20"/>
    </w:rPr>
  </w:style>
  <w:style w:type="paragraph" w:styleId="FootnoteText">
    <w:name w:val="footnote text"/>
    <w:aliases w:val="BE"/>
    <w:basedOn w:val="Normal"/>
    <w:semiHidden/>
    <w:pPr>
      <w:spacing w:after="40"/>
    </w:pPr>
    <w:rPr>
      <w:sz w:val="16"/>
      <w:szCs w:val="20"/>
    </w:rPr>
  </w:style>
  <w:style w:type="paragraph" w:styleId="Header">
    <w:name w:val="header"/>
    <w:aliases w:val=".BE"/>
    <w:basedOn w:val="Normal"/>
    <w:autoRedefine/>
    <w:rsid w:val="0095075D"/>
    <w:pPr>
      <w:tabs>
        <w:tab w:val="center" w:pos="4680"/>
        <w:tab w:val="right" w:pos="9360"/>
      </w:tabs>
      <w:jc w:val="right"/>
    </w:pPr>
    <w:rPr>
      <w:sz w:val="18"/>
      <w:szCs w:val="20"/>
    </w:rPr>
  </w:style>
  <w:style w:type="character" w:styleId="PageNumber">
    <w:name w:val="page number"/>
    <w:basedOn w:val="DefaultParagraphFont"/>
  </w:style>
  <w:style w:type="paragraph" w:styleId="Footer">
    <w:name w:val="footer"/>
    <w:aliases w:val="-BearingPoint,-Hacienda"/>
    <w:basedOn w:val="Normal"/>
    <w:autoRedefine/>
    <w:rsid w:val="0095075D"/>
    <w:pPr>
      <w:tabs>
        <w:tab w:val="center" w:pos="4500"/>
        <w:tab w:val="right" w:pos="9000"/>
      </w:tabs>
    </w:pPr>
    <w:rPr>
      <w:sz w:val="18"/>
      <w:szCs w:val="20"/>
    </w:rPr>
  </w:style>
  <w:style w:type="paragraph" w:styleId="BodyText3">
    <w:name w:val="Body Text 3"/>
    <w:basedOn w:val="Normal"/>
    <w:pPr>
      <w:spacing w:after="0"/>
    </w:pPr>
  </w:style>
  <w:style w:type="paragraph" w:customStyle="1" w:styleId="Tablecontent">
    <w:name w:val="Tablecontent"/>
    <w:basedOn w:val="Normal"/>
    <w:pPr>
      <w:spacing w:before="60" w:after="60"/>
      <w:jc w:val="left"/>
    </w:pPr>
    <w:rPr>
      <w:sz w:val="20"/>
      <w:szCs w:val="20"/>
    </w:rPr>
  </w:style>
  <w:style w:type="paragraph" w:styleId="BodyTextIndent2">
    <w:name w:val="Body Text Indent 2"/>
    <w:basedOn w:val="Normal"/>
    <w:link w:val="BodyTextIndent2Char"/>
    <w:pPr>
      <w:spacing w:after="0"/>
      <w:ind w:left="720"/>
      <w:jc w:val="left"/>
    </w:pPr>
  </w:style>
  <w:style w:type="paragraph" w:customStyle="1" w:styleId="Figure1">
    <w:name w:val="Figure 1"/>
    <w:basedOn w:val="Normal"/>
    <w:next w:val="Normal"/>
    <w:autoRedefine/>
    <w:pPr>
      <w:spacing w:after="0"/>
      <w:jc w:val="center"/>
    </w:pPr>
    <w:rPr>
      <w:rFonts w:ascii="Arial" w:hAnsi="Arial" w:cs="Arial"/>
      <w:b/>
      <w:noProof/>
      <w:sz w:val="20"/>
    </w:rPr>
  </w:style>
  <w:style w:type="paragraph" w:customStyle="1" w:styleId="BulletLevel2">
    <w:name w:val="Bullet Level 2"/>
    <w:basedOn w:val="Normal"/>
    <w:pPr>
      <w:tabs>
        <w:tab w:val="num" w:pos="720"/>
      </w:tabs>
      <w:spacing w:after="0"/>
      <w:ind w:left="720" w:hanging="360"/>
    </w:pPr>
    <w:rPr>
      <w:szCs w:val="20"/>
    </w:rPr>
  </w:style>
  <w:style w:type="paragraph" w:customStyle="1" w:styleId="Bulletone">
    <w:name w:val="Bullet one"/>
    <w:basedOn w:val="Normal"/>
    <w:pPr>
      <w:spacing w:after="0" w:line="360" w:lineRule="auto"/>
      <w:ind w:left="360" w:hanging="360"/>
      <w:jc w:val="left"/>
    </w:pPr>
    <w:rPr>
      <w:rFonts w:ascii="Times" w:hAnsi="Times"/>
      <w:szCs w:val="20"/>
    </w:rPr>
  </w:style>
  <w:style w:type="paragraph" w:customStyle="1" w:styleId="Figure">
    <w:name w:val="Figure"/>
    <w:basedOn w:val="Normal"/>
    <w:next w:val="Normal"/>
    <w:pPr>
      <w:tabs>
        <w:tab w:val="left" w:pos="1440"/>
      </w:tabs>
      <w:spacing w:before="60" w:after="240"/>
      <w:jc w:val="left"/>
    </w:pPr>
    <w:rPr>
      <w:b/>
      <w:sz w:val="20"/>
      <w:szCs w:val="20"/>
    </w:rPr>
  </w:style>
  <w:style w:type="paragraph" w:styleId="BodyText2">
    <w:name w:val="Body Text 2"/>
    <w:basedOn w:val="Normal"/>
    <w:link w:val="BodyText2Char"/>
    <w:pPr>
      <w:spacing w:after="0"/>
    </w:pPr>
    <w:rPr>
      <w:color w:val="000000"/>
    </w:rPr>
  </w:style>
  <w:style w:type="paragraph" w:styleId="Caption">
    <w:name w:val="caption"/>
    <w:basedOn w:val="Normal"/>
    <w:next w:val="Normal"/>
    <w:qFormat/>
    <w:pPr>
      <w:spacing w:before="120" w:after="120"/>
    </w:pPr>
    <w:rPr>
      <w:b/>
      <w:bCs/>
      <w:sz w:val="20"/>
      <w:szCs w:val="20"/>
    </w:rPr>
  </w:style>
  <w:style w:type="paragraph" w:customStyle="1" w:styleId="VP">
    <w:name w:val="VP"/>
    <w:basedOn w:val="Normal"/>
    <w:pPr>
      <w:numPr>
        <w:numId w:val="29"/>
      </w:numPr>
      <w:spacing w:after="0"/>
    </w:pPr>
    <w:rPr>
      <w:color w:val="000000"/>
      <w:szCs w:val="16"/>
    </w:rPr>
  </w:style>
  <w:style w:type="paragraph" w:customStyle="1" w:styleId="SO">
    <w:name w:val="SO"/>
    <w:basedOn w:val="Normal"/>
    <w:pPr>
      <w:numPr>
        <w:numId w:val="30"/>
      </w:numPr>
    </w:pPr>
  </w:style>
  <w:style w:type="paragraph" w:customStyle="1" w:styleId="TE">
    <w:name w:val="TE"/>
    <w:basedOn w:val="Normal"/>
    <w:pPr>
      <w:numPr>
        <w:numId w:val="31"/>
      </w:numPr>
    </w:pPr>
  </w:style>
  <w:style w:type="paragraph" w:customStyle="1" w:styleId="TS">
    <w:name w:val="TS"/>
    <w:basedOn w:val="Normal"/>
    <w:pPr>
      <w:numPr>
        <w:numId w:val="32"/>
      </w:numPr>
      <w:spacing w:after="0"/>
    </w:pPr>
    <w:rPr>
      <w:lang w:val="en-GB"/>
    </w:rPr>
  </w:style>
  <w:style w:type="character" w:styleId="FollowedHyperlink">
    <w:name w:val="FollowedHyperlink"/>
    <w:rPr>
      <w:color w:val="800080"/>
      <w:u w:val="single"/>
    </w:rPr>
  </w:style>
  <w:style w:type="paragraph" w:customStyle="1" w:styleId="FS">
    <w:name w:val="FS"/>
    <w:basedOn w:val="BodyText2"/>
    <w:pPr>
      <w:numPr>
        <w:numId w:val="33"/>
      </w:numPr>
      <w:jc w:val="left"/>
    </w:pPr>
  </w:style>
  <w:style w:type="paragraph" w:styleId="TOC4">
    <w:name w:val="toc 4"/>
    <w:basedOn w:val="Normal"/>
    <w:next w:val="Normal"/>
    <w:autoRedefine/>
    <w:semiHidden/>
    <w:pPr>
      <w:spacing w:after="0"/>
      <w:ind w:left="720"/>
      <w:jc w:val="left"/>
    </w:pPr>
  </w:style>
  <w:style w:type="paragraph" w:styleId="TOC5">
    <w:name w:val="toc 5"/>
    <w:basedOn w:val="Normal"/>
    <w:next w:val="Normal"/>
    <w:autoRedefine/>
    <w:semiHidden/>
    <w:pPr>
      <w:spacing w:after="0"/>
      <w:ind w:left="960"/>
      <w:jc w:val="left"/>
    </w:pPr>
  </w:style>
  <w:style w:type="paragraph" w:styleId="TOC6">
    <w:name w:val="toc 6"/>
    <w:basedOn w:val="Normal"/>
    <w:next w:val="Normal"/>
    <w:autoRedefine/>
    <w:semiHidden/>
    <w:pPr>
      <w:spacing w:after="0"/>
      <w:ind w:left="1200"/>
      <w:jc w:val="left"/>
    </w:pPr>
  </w:style>
  <w:style w:type="paragraph" w:styleId="TOC7">
    <w:name w:val="toc 7"/>
    <w:basedOn w:val="Normal"/>
    <w:next w:val="Normal"/>
    <w:autoRedefine/>
    <w:semiHidden/>
    <w:pPr>
      <w:spacing w:after="0"/>
      <w:ind w:left="1440"/>
      <w:jc w:val="left"/>
    </w:pPr>
  </w:style>
  <w:style w:type="paragraph" w:styleId="TOC8">
    <w:name w:val="toc 8"/>
    <w:basedOn w:val="Normal"/>
    <w:next w:val="Normal"/>
    <w:autoRedefine/>
    <w:semiHidden/>
    <w:pPr>
      <w:spacing w:after="0"/>
      <w:ind w:left="1680"/>
      <w:jc w:val="left"/>
    </w:pPr>
  </w:style>
  <w:style w:type="paragraph" w:styleId="TOC9">
    <w:name w:val="toc 9"/>
    <w:basedOn w:val="Normal"/>
    <w:next w:val="Normal"/>
    <w:autoRedefine/>
    <w:semiHidden/>
    <w:pPr>
      <w:spacing w:after="0"/>
      <w:ind w:left="1920"/>
      <w:jc w:val="left"/>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1416C"/>
    <w:pPr>
      <w:spacing w:after="200" w:line="276" w:lineRule="auto"/>
      <w:ind w:left="720"/>
      <w:contextualSpacing/>
      <w:jc w:val="left"/>
    </w:pPr>
    <w:rPr>
      <w:rFonts w:ascii="Calibri" w:eastAsia="Calibri" w:hAnsi="Calibri" w:cs="Arial"/>
      <w:sz w:val="22"/>
      <w:szCs w:val="22"/>
    </w:rPr>
  </w:style>
  <w:style w:type="character" w:customStyle="1" w:styleId="Heading4Char">
    <w:name w:val="Heading 4 Char"/>
    <w:link w:val="Heading4"/>
    <w:rsid w:val="00214BF7"/>
    <w:rPr>
      <w:b/>
      <w:sz w:val="24"/>
    </w:rPr>
  </w:style>
  <w:style w:type="character" w:customStyle="1" w:styleId="BodyText2Char">
    <w:name w:val="Body Text 2 Char"/>
    <w:link w:val="BodyText2"/>
    <w:rsid w:val="00214BF7"/>
    <w:rPr>
      <w:color w:val="000000"/>
      <w:sz w:val="24"/>
      <w:szCs w:val="24"/>
    </w:rPr>
  </w:style>
  <w:style w:type="character" w:customStyle="1" w:styleId="BodyTextIndent2Char">
    <w:name w:val="Body Text Indent 2 Char"/>
    <w:link w:val="BodyTextIndent2"/>
    <w:rsid w:val="00214BF7"/>
    <w:rPr>
      <w:sz w:val="24"/>
      <w:szCs w:val="24"/>
    </w:rPr>
  </w:style>
  <w:style w:type="table" w:styleId="TableGrid">
    <w:name w:val="Table Grid"/>
    <w:basedOn w:val="TableNormal"/>
    <w:uiPriority w:val="59"/>
    <w:rsid w:val="004D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B5291"/>
    <w:rPr>
      <w:sz w:val="16"/>
      <w:szCs w:val="16"/>
    </w:rPr>
  </w:style>
  <w:style w:type="paragraph" w:styleId="CommentText">
    <w:name w:val="annotation text"/>
    <w:basedOn w:val="Normal"/>
    <w:link w:val="CommentTextChar"/>
    <w:uiPriority w:val="99"/>
    <w:semiHidden/>
    <w:unhideWhenUsed/>
    <w:rsid w:val="003B5291"/>
    <w:rPr>
      <w:sz w:val="20"/>
      <w:szCs w:val="20"/>
    </w:rPr>
  </w:style>
  <w:style w:type="character" w:customStyle="1" w:styleId="CommentTextChar">
    <w:name w:val="Comment Text Char"/>
    <w:basedOn w:val="DefaultParagraphFont"/>
    <w:link w:val="CommentText"/>
    <w:uiPriority w:val="99"/>
    <w:semiHidden/>
    <w:rsid w:val="003B5291"/>
  </w:style>
  <w:style w:type="paragraph" w:styleId="CommentSubject">
    <w:name w:val="annotation subject"/>
    <w:basedOn w:val="CommentText"/>
    <w:next w:val="CommentText"/>
    <w:link w:val="CommentSubjectChar"/>
    <w:uiPriority w:val="99"/>
    <w:semiHidden/>
    <w:unhideWhenUsed/>
    <w:rsid w:val="003B5291"/>
    <w:rPr>
      <w:b/>
      <w:bCs/>
    </w:rPr>
  </w:style>
  <w:style w:type="character" w:customStyle="1" w:styleId="CommentSubjectChar">
    <w:name w:val="Comment Subject Char"/>
    <w:link w:val="CommentSubject"/>
    <w:uiPriority w:val="99"/>
    <w:semiHidden/>
    <w:rsid w:val="003B5291"/>
    <w:rPr>
      <w:b/>
      <w:bCs/>
    </w:rPr>
  </w:style>
  <w:style w:type="paragraph" w:styleId="NoSpacing">
    <w:name w:val="No Spacing"/>
    <w:qFormat/>
    <w:rsid w:val="00B61A76"/>
    <w:rPr>
      <w:rFonts w:ascii="Calibri" w:eastAsia="Calibri" w:hAnsi="Calibri"/>
      <w:sz w:val="22"/>
      <w:szCs w:val="22"/>
    </w:rPr>
  </w:style>
  <w:style w:type="character" w:styleId="UnresolvedMention">
    <w:name w:val="Unresolved Mention"/>
    <w:basedOn w:val="DefaultParagraphFont"/>
    <w:uiPriority w:val="99"/>
    <w:semiHidden/>
    <w:unhideWhenUsed/>
    <w:rsid w:val="00603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3949">
      <w:bodyDiv w:val="1"/>
      <w:marLeft w:val="0"/>
      <w:marRight w:val="0"/>
      <w:marTop w:val="0"/>
      <w:marBottom w:val="0"/>
      <w:divBdr>
        <w:top w:val="none" w:sz="0" w:space="0" w:color="auto"/>
        <w:left w:val="none" w:sz="0" w:space="0" w:color="auto"/>
        <w:bottom w:val="none" w:sz="0" w:space="0" w:color="auto"/>
        <w:right w:val="none" w:sz="0" w:space="0" w:color="auto"/>
      </w:divBdr>
    </w:div>
    <w:div w:id="497111508">
      <w:bodyDiv w:val="1"/>
      <w:marLeft w:val="0"/>
      <w:marRight w:val="0"/>
      <w:marTop w:val="0"/>
      <w:marBottom w:val="0"/>
      <w:divBdr>
        <w:top w:val="none" w:sz="0" w:space="0" w:color="auto"/>
        <w:left w:val="none" w:sz="0" w:space="0" w:color="auto"/>
        <w:bottom w:val="none" w:sz="0" w:space="0" w:color="auto"/>
        <w:right w:val="none" w:sz="0" w:space="0" w:color="auto"/>
      </w:divBdr>
    </w:div>
    <w:div w:id="5061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vc-c_procurementinbox@dai.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6d93b142-ac7c-40bc-abd5-9164f91b6706">New</DocumentVersion>
    <Chapter xmlns="08d4188c-1b83-475f-8c2c-e267b0f89cb6">09 Project Procurement and Inventory Management</Chapter>
    <DocumentID xmlns="6d93b142-ac7c-40bc-abd5-9164f91b6706">FOM Form 9.32</DocumentID>
    <EndDate xmlns="08D4188C-1B83-475F-8C2C-E267B0F89CB6">2020-09-18T04:00:00+00:00</EndDate>
    <IsReferencedBy xmlns="08D4188C-1B83-475F-8C2C-E267B0F89CB6" xsi:nil="true"/>
    <RevisionNumber xmlns="6d93b142-ac7c-40bc-abd5-9164f91b6706">New</RevisionNumber>
    <RemainderInDays xmlns="08D4188C-1B83-475F-8C2C-E267B0F89CB6">60</RemainderInDays>
    <Document_x0020_Type xmlns="08d4188c-1b83-475f-8c2c-e267b0f89cb6">Form</Document_x0020_Type>
    <PolicyType xmlns="6d93b142-ac7c-40bc-abd5-9164f91b6706">19</PolicyType>
    <DocumentStatus xmlns="6d93b142-ac7c-40bc-abd5-9164f91b6706">Not Started</DocumentStatus>
    <SupportingDocuments xmlns="08D4188C-1B83-475F-8C2C-E267B0F89CB6">No</SupportingDocuments>
    <EffectiveDate xmlns="08D4188C-1B83-475F-8C2C-E267B0F89CB6">2018-06-01T04:00:00+00:00</EffectiveDate>
    <PolicyDocID xmlns="08D4188C-1B83-475F-8C2C-E267B0F89CB6" xsi:nil="true"/>
    <PolicyName xmlns="6d93b142-ac7c-40bc-abd5-9164f91b6706">Form 9.32 Expression of Interest (EOI) Template</PolicyName>
    <PolicyClassification xmlns="6d93b142-ac7c-40bc-abd5-9164f91b6706">5</PolicyClassification>
    <References xmlns="08D4188C-1B83-475F-8C2C-E267B0F89CB6">N/A</References>
  </documentManagement>
</p:properties>
</file>

<file path=customXml/item2.xml><?xml version="1.0" encoding="utf-8"?>
<ct:contentTypeSchema xmlns:ct="http://schemas.microsoft.com/office/2006/metadata/contentType" xmlns:ma="http://schemas.microsoft.com/office/2006/metadata/properties/metaAttributes" ct:_="" ma:_="" ma:contentTypeName="PolicyDocumentContentType" ma:contentTypeID="0x01010075428067C04A48E2B0CACFA5C27F8E72004E99F90E45FEC34DBFAE2F041A0E652D" ma:contentTypeVersion="11" ma:contentTypeDescription="My Content Type" ma:contentTypeScope="" ma:versionID="822965015206136b2771864f905a5316">
  <xsd:schema xmlns:xsd="http://www.w3.org/2001/XMLSchema" xmlns:xs="http://www.w3.org/2001/XMLSchema" xmlns:p="http://schemas.microsoft.com/office/2006/metadata/properties" xmlns:ns2="6d93b142-ac7c-40bc-abd5-9164f91b6706" xmlns:ns3="08D4188C-1B83-475F-8C2C-E267B0F89CB6" xmlns:ns4="08d4188c-1b83-475f-8c2c-e267b0f89cb6" targetNamespace="http://schemas.microsoft.com/office/2006/metadata/properties" ma:root="true" ma:fieldsID="f15defef9b409da8da39a4b674d07185" ns2:_="" ns3:_="" ns4:_="">
    <xsd:import namespace="6d93b142-ac7c-40bc-abd5-9164f91b6706"/>
    <xsd:import namespace="08D4188C-1B83-475F-8C2C-E267B0F89CB6"/>
    <xsd:import namespace="08d4188c-1b83-475f-8c2c-e267b0f89cb6"/>
    <xsd:element name="properties">
      <xsd:complexType>
        <xsd:sequence>
          <xsd:element name="documentManagement">
            <xsd:complexType>
              <xsd:all>
                <xsd:element ref="ns2:PolicyName"/>
                <xsd:element ref="ns2:DocumentID"/>
                <xsd:element ref="ns2:PolicyClassification"/>
                <xsd:element ref="ns2:PolicyType"/>
                <xsd:element ref="ns2:DocumentStatus" minOccurs="0"/>
                <xsd:element ref="ns2:DocumentVersion"/>
                <xsd:element ref="ns2:RevisionNumber"/>
                <xsd:element ref="ns3:EffectiveDate" minOccurs="0"/>
                <xsd:element ref="ns3:References"/>
                <xsd:element ref="ns3:IsReferencedBy" minOccurs="0"/>
                <xsd:element ref="ns3:EndDate" minOccurs="0"/>
                <xsd:element ref="ns3:RemainderInDays"/>
                <xsd:element ref="ns3:PolicyDocID" minOccurs="0"/>
                <xsd:element ref="ns3:SupportingDocuments" minOccurs="0"/>
                <xsd:element ref="ns4:Chapter"/>
                <xsd:element ref="ns4:MediaServiceMetadata" minOccurs="0"/>
                <xsd:element ref="ns4:MediaServiceFastMetadata" minOccurs="0"/>
                <xsd:element ref="ns4:Document_x0020_Type"/>
                <xsd:element ref="ns4:MediaServiceEventHashCode" minOccurs="0"/>
                <xsd:element ref="ns4: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b142-ac7c-40bc-abd5-9164f91b6706" elementFormDefault="qualified">
    <xsd:import namespace="http://schemas.microsoft.com/office/2006/documentManagement/types"/>
    <xsd:import namespace="http://schemas.microsoft.com/office/infopath/2007/PartnerControls"/>
    <xsd:element name="PolicyName" ma:index="8" ma:displayName="Policy Name" ma:internalName="PolicyName">
      <xsd:simpleType>
        <xsd:restriction base="dms:Text"/>
      </xsd:simpleType>
    </xsd:element>
    <xsd:element name="DocumentID" ma:index="9" ma:displayName="Document ID" ma:indexed="true" ma:internalName="DocumentID">
      <xsd:simpleType>
        <xsd:restriction base="dms:Text"/>
      </xsd:simpleType>
    </xsd:element>
    <xsd:element name="PolicyClassification" ma:index="10" ma:displayName="Policy Classification" ma:list="{433805AA-CD26-4277-98CB-8D1EEEB33009}" ma:internalName="PolicyClassification" ma:showField="Title" ma:web="{6d93b142-ac7c-40bc-abd5-9164f91b6706}">
      <xsd:simpleType>
        <xsd:restriction base="dms:Lookup"/>
      </xsd:simpleType>
    </xsd:element>
    <xsd:element name="PolicyType" ma:index="11" ma:displayName="Policy Type" ma:list="{F6B64C8F-C7FE-43D6-A072-4158BF859DD4}" ma:internalName="PolicyType" ma:showField="Title" ma:web="{6d93b142-ac7c-40bc-abd5-9164f91b6706}">
      <xsd:simpleType>
        <xsd:restriction base="dms:Lookup"/>
      </xsd:simpleType>
    </xsd:element>
    <xsd:element name="DocumentStatus" ma:index="12" nillable="true" ma:displayName="Document Status" ma:default="Not Started" ma:internalName="DocumentStatus">
      <xsd:simpleType>
        <xsd:restriction base="dms:Text"/>
      </xsd:simpleType>
    </xsd:element>
    <xsd:element name="DocumentVersion" ma:index="13" ma:displayName="Document Version" ma:default="New" ma:internalName="DocumentVersion">
      <xsd:simpleType>
        <xsd:restriction base="dms:Text"/>
      </xsd:simpleType>
    </xsd:element>
    <xsd:element name="RevisionNumber" ma:index="14" ma:displayName="Revision Number" ma:default="New" ma:internalName="RevisionNumber">
      <xsd:simpleType>
        <xsd:restriction base="dms:Text"/>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4188C-1B83-475F-8C2C-E267B0F89CB6" elementFormDefault="qualified">
    <xsd:import namespace="http://schemas.microsoft.com/office/2006/documentManagement/types"/>
    <xsd:import namespace="http://schemas.microsoft.com/office/infopath/2007/PartnerControls"/>
    <xsd:element name="EffectiveDate" ma:index="15" nillable="true" ma:displayName="Effective Date" ma:default="[Today]" ma:format="DateOnly" ma:internalName="EffectiveDate">
      <xsd:simpleType>
        <xsd:restriction base="dms:DateTime"/>
      </xsd:simpleType>
    </xsd:element>
    <xsd:element name="References" ma:index="16" ma:displayName="References" ma:default="N/A" ma:internalName="References">
      <xsd:simpleType>
        <xsd:restriction base="dms:Text"/>
      </xsd:simpleType>
    </xsd:element>
    <xsd:element name="IsReferencedBy" ma:index="17" nillable="true" ma:displayName="Is Referenced By" ma:internalName="IsReferencedBy">
      <xsd:simpleType>
        <xsd:restriction base="dms:Text"/>
      </xsd:simpleType>
    </xsd:element>
    <xsd:element name="EndDate" ma:index="18" nillable="true" ma:displayName="End Date" ma:format="DateOnly" ma:internalName="EndDate">
      <xsd:simpleType>
        <xsd:restriction base="dms:DateTime"/>
      </xsd:simpleType>
    </xsd:element>
    <xsd:element name="RemainderInDays" ma:index="19" ma:displayName="Reminder in Days" ma:default="60" ma:internalName="RemainderInDays">
      <xsd:simpleType>
        <xsd:restriction base="dms:Number"/>
      </xsd:simpleType>
    </xsd:element>
    <xsd:element name="PolicyDocID" ma:index="20" nillable="true" ma:displayName="Policy Doc ID" ma:internalName="PolicyDocID">
      <xsd:simpleType>
        <xsd:restriction base="dms:Number"/>
      </xsd:simpleType>
    </xsd:element>
    <xsd:element name="SupportingDocuments" ma:index="21" nillable="true" ma:displayName="Supporting Documents" ma:default="No" ma:internalName="SupportingDocuments">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8d4188c-1b83-475f-8c2c-e267b0f89cb6" elementFormDefault="qualified">
    <xsd:import namespace="http://schemas.microsoft.com/office/2006/documentManagement/types"/>
    <xsd:import namespace="http://schemas.microsoft.com/office/infopath/2007/PartnerControls"/>
    <xsd:element name="Chapter" ma:index="22" ma:displayName="Chapter" ma:default="01 Project Mission and Objectives" ma:format="Dropdown" ma:internalName="Chapter">
      <xsd:simpleType>
        <xsd:restriction base="dms:Choice">
          <xsd:enumeration value="01 Project Mission and Objectives"/>
          <xsd:enumeration value="02 Project Organization, Roles and Responsibilities"/>
          <xsd:enumeration value="03 Project Compliance"/>
          <xsd:enumeration value="04 Project Office and Equipment Administration"/>
          <xsd:enumeration value="05 Project Technical Execution"/>
          <xsd:enumeration value="06 Project Systems"/>
          <xsd:enumeration value="07 Project Financial Management"/>
          <xsd:enumeration value="08 Project Human Resources Management"/>
          <xsd:enumeration value="09 Project Procurement and Inventory Management"/>
          <xsd:enumeration value="10 Project Travel and Events Logistics"/>
          <xsd:enumeration value="11 Project Security and Safety"/>
          <xsd:enumeration value="12 Project Management and Implementation of Grants"/>
          <xsd:enumeration value="13 Project Infrastructure Management"/>
          <xsd:enumeration value="01 Policy and Authorities"/>
          <xsd:enumeration value="02 Administration &amp; Facilities"/>
          <xsd:enumeration value="03a Procurement"/>
          <xsd:enumeration value="03b Payables"/>
          <xsd:enumeration value="04a Human Resources - General"/>
          <xsd:enumeration value="04b Human Resources - Corporate Recruitment"/>
          <xsd:enumeration value="04c Human Resources - Timekeeping &amp; Payroll"/>
          <xsd:enumeration value="05 Information Technology"/>
          <xsd:enumeration value="06 Travel"/>
          <xsd:enumeration value="07 Global Security"/>
          <xsd:enumeration value="08 Business Conduct &amp; Ethics"/>
          <xsd:enumeration value="01 New Business Development"/>
          <xsd:enumeration value="02 Project and Proposal Recruitment"/>
          <xsd:enumeration value="03 Project Start-Up"/>
          <xsd:enumeration value="04 Quality Assurance Management"/>
          <xsd:enumeration value="05 Contract Management and Reporting"/>
          <xsd:enumeration value="06 Project Financial Management"/>
          <xsd:enumeration value="07a Personnel and Allowances - LTTA"/>
          <xsd:enumeration value="07b Personnel and Allowances - STTA"/>
          <xsd:enumeration value="08 Project Closedown"/>
          <xsd:enumeration value="01 Administration"/>
          <xsd:enumeration value="02 Communications"/>
          <xsd:enumeration value="03 Compliance"/>
          <xsd:enumeration value="04 Finance"/>
          <xsd:enumeration value="05 Human Resources"/>
          <xsd:enumeration value="06 Information Technology"/>
          <xsd:enumeration value="07 New Business"/>
          <xsd:enumeration value="08 USG Delivery"/>
          <xsd:enumeration value="09 Recruitment"/>
          <xsd:enumeration value="10 Security"/>
          <xsd:enumeration value="11 Start-Up"/>
          <xsd:enumeration value="12 Closedown"/>
          <xsd:enumeration value="13 Technical Execution"/>
          <xsd:enumeration value="Samples"/>
          <xsd:enumeration value="Change Order"/>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ocument_x0020_Type" ma:index="25" ma:displayName="Document Type" ma:default="Policy" ma:format="Dropdown" ma:internalName="Document_x0020_Type">
      <xsd:simpleType>
        <xsd:restriction base="dms:Choice">
          <xsd:enumeration value="Chapter"/>
          <xsd:enumeration value="Form"/>
          <xsd:enumeration value="Policy"/>
          <xsd:enumeration value="Procedure"/>
          <xsd:enumeration value="Task Instruction"/>
          <xsd:enumeration value="Template"/>
          <xsd:enumeration value="Guide"/>
          <xsd:enumeration value="Manual"/>
          <xsd:enumeration value="Sample"/>
          <xsd:enumeration value="Change Order"/>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AC95261-1747-47DF-822F-C66B52110B6B}">
  <ds:schemaRefs>
    <ds:schemaRef ds:uri="http://schemas.microsoft.com/office/2006/metadata/properties"/>
    <ds:schemaRef ds:uri="http://schemas.microsoft.com/office/infopath/2007/PartnerControls"/>
    <ds:schemaRef ds:uri="6d93b142-ac7c-40bc-abd5-9164f91b6706"/>
    <ds:schemaRef ds:uri="08d4188c-1b83-475f-8c2c-e267b0f89cb6"/>
    <ds:schemaRef ds:uri="08D4188C-1B83-475F-8C2C-E267B0F89CB6"/>
  </ds:schemaRefs>
</ds:datastoreItem>
</file>

<file path=customXml/itemProps2.xml><?xml version="1.0" encoding="utf-8"?>
<ds:datastoreItem xmlns:ds="http://schemas.openxmlformats.org/officeDocument/2006/customXml" ds:itemID="{9AB3137D-8B93-43AA-9007-2FFF79D0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b142-ac7c-40bc-abd5-9164f91b6706"/>
    <ds:schemaRef ds:uri="08D4188C-1B83-475F-8C2C-E267B0F89CB6"/>
    <ds:schemaRef ds:uri="08d4188c-1b83-475f-8c2c-e267b0f89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9C686-2BAA-41E1-A529-86E7D6595DE9}">
  <ds:schemaRefs>
    <ds:schemaRef ds:uri="http://schemas.microsoft.com/sharepoint/v3/contenttype/forms"/>
  </ds:schemaRefs>
</ds:datastoreItem>
</file>

<file path=customXml/itemProps4.xml><?xml version="1.0" encoding="utf-8"?>
<ds:datastoreItem xmlns:ds="http://schemas.openxmlformats.org/officeDocument/2006/customXml" ds:itemID="{5EBABD94-AFB4-41F5-B82C-0D7C65DC49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6772</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Robins</dc:creator>
  <cp:keywords/>
  <cp:lastModifiedBy>Janaqa Hashimi</cp:lastModifiedBy>
  <cp:revision>2</cp:revision>
  <cp:lastPrinted>2018-11-27T12:48:00Z</cp:lastPrinted>
  <dcterms:created xsi:type="dcterms:W3CDTF">2018-11-27T12:48:00Z</dcterms:created>
  <dcterms:modified xsi:type="dcterms:W3CDTF">2018-11-27T12:48:00Z</dcterms:modified>
  <cp:category>Request for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vt:lpwstr/>
  </property>
</Properties>
</file>