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75770" w14:textId="79692841" w:rsidR="0061414A" w:rsidRDefault="00E31770" w:rsidP="0061414A">
      <w:pPr>
        <w:jc w:val="center"/>
        <w:rPr>
          <w:b/>
          <w:u w:val="single"/>
        </w:rPr>
      </w:pPr>
      <w:r>
        <w:rPr>
          <w:b/>
          <w:u w:val="single"/>
        </w:rPr>
        <w:t>Annex F</w:t>
      </w:r>
    </w:p>
    <w:p w14:paraId="523A3315" w14:textId="1836C967" w:rsidR="00E31770" w:rsidRDefault="00E31770" w:rsidP="0061414A">
      <w:pPr>
        <w:jc w:val="center"/>
        <w:rPr>
          <w:b/>
          <w:u w:val="single"/>
        </w:rPr>
      </w:pPr>
      <w:r>
        <w:rPr>
          <w:b/>
          <w:u w:val="single"/>
        </w:rPr>
        <w:t xml:space="preserve">Statement of Works </w:t>
      </w:r>
    </w:p>
    <w:p w14:paraId="1C0B4A68" w14:textId="77777777" w:rsidR="0061414A" w:rsidRPr="0061414A" w:rsidRDefault="0061414A" w:rsidP="0061414A">
      <w:pPr>
        <w:jc w:val="center"/>
        <w:rPr>
          <w:b/>
          <w:u w:val="single"/>
        </w:rPr>
      </w:pPr>
    </w:p>
    <w:p w14:paraId="58F121DC" w14:textId="711F7070" w:rsidR="00B52B30" w:rsidRDefault="0061414A" w:rsidP="0061414A">
      <w:pPr>
        <w:jc w:val="center"/>
      </w:pPr>
      <w:r>
        <w:t xml:space="preserve">Consultancy: </w:t>
      </w:r>
      <w:r w:rsidR="00B52B30">
        <w:t>Develop</w:t>
      </w:r>
      <w:r>
        <w:t>ment of</w:t>
      </w:r>
      <w:r w:rsidR="00B52B30">
        <w:t xml:space="preserve"> multi-sector </w:t>
      </w:r>
      <w:r>
        <w:t xml:space="preserve">action plans </w:t>
      </w:r>
      <w:r w:rsidR="00B52B30">
        <w:t>to</w:t>
      </w:r>
      <w:r>
        <w:t xml:space="preserve"> </w:t>
      </w:r>
      <w:r w:rsidR="000A44F7">
        <w:t>encourage</w:t>
      </w:r>
      <w:r w:rsidR="00B52B30">
        <w:t xml:space="preserve"> </w:t>
      </w:r>
      <w:r>
        <w:t xml:space="preserve">the </w:t>
      </w:r>
      <w:r w:rsidR="00B52B30">
        <w:t xml:space="preserve">early recovery of emergency-affected communities and </w:t>
      </w:r>
      <w:r w:rsidR="000A44F7">
        <w:t>support</w:t>
      </w:r>
      <w:r w:rsidR="00B52B30">
        <w:t xml:space="preserve"> their resilience</w:t>
      </w:r>
    </w:p>
    <w:p w14:paraId="072841FC" w14:textId="2E781B84" w:rsidR="0061414A" w:rsidRDefault="0061414A" w:rsidP="00B52B30"/>
    <w:p w14:paraId="20EBA3FF" w14:textId="1D75D998" w:rsidR="0061414A" w:rsidRDefault="0061414A" w:rsidP="00B52B30">
      <w:pPr>
        <w:pStyle w:val="ListParagraph"/>
        <w:numPr>
          <w:ilvl w:val="0"/>
          <w:numId w:val="8"/>
        </w:numPr>
      </w:pPr>
      <w:r>
        <w:t>Introductio</w:t>
      </w:r>
      <w:r w:rsidR="000A44F7">
        <w:t>n</w:t>
      </w:r>
    </w:p>
    <w:p w14:paraId="7B410933" w14:textId="06704AA7" w:rsidR="0061414A" w:rsidRDefault="0061414A" w:rsidP="00B52B30">
      <w:r w:rsidRPr="009F5825">
        <w:t>The Afghan Displ</w:t>
      </w:r>
      <w:r>
        <w:t>acement Solutions Platform is a joint</w:t>
      </w:r>
      <w:r w:rsidRPr="009F5825">
        <w:t xml:space="preserve"> initiative launched by the </w:t>
      </w:r>
      <w:r>
        <w:t>Danish Refugee Council</w:t>
      </w:r>
      <w:r w:rsidRPr="009F5825">
        <w:t>, International Rescue Committee</w:t>
      </w:r>
      <w:r>
        <w:t xml:space="preserve">, </w:t>
      </w:r>
      <w:r w:rsidRPr="009F5825">
        <w:t xml:space="preserve">Norwegian Refugee Council and Relief International, which aims to contribute to the development of comprehensive solutions for displaced Afghans. Drawing upon its members’ operational presence in the region, the ADSP engages in constructive dialogue and evidence-based advocacy initiatives, in order to support improved outcomes for </w:t>
      </w:r>
      <w:r>
        <w:t xml:space="preserve">displaced </w:t>
      </w:r>
      <w:r w:rsidRPr="009F5825">
        <w:t>A</w:t>
      </w:r>
      <w:r>
        <w:t>fghans, with a focus on the development of innovative, transitional solutions</w:t>
      </w:r>
      <w:r w:rsidRPr="009F5825">
        <w:t xml:space="preserve"> to the challenges posed by displacement.</w:t>
      </w:r>
    </w:p>
    <w:p w14:paraId="1CEC91BB" w14:textId="3A9F7B17" w:rsidR="0061414A" w:rsidRDefault="0061414A" w:rsidP="00B52B30"/>
    <w:p w14:paraId="183779EA" w14:textId="2D969CE7" w:rsidR="00FB3753" w:rsidRPr="000A44F7" w:rsidRDefault="0061414A" w:rsidP="00FB3753">
      <w:pPr>
        <w:pStyle w:val="ListParagraph"/>
        <w:numPr>
          <w:ilvl w:val="0"/>
          <w:numId w:val="8"/>
        </w:numPr>
      </w:pPr>
      <w:r>
        <w:t>Problem statement</w:t>
      </w:r>
    </w:p>
    <w:p w14:paraId="19C9CAD1" w14:textId="7455CE1A" w:rsidR="0061414A" w:rsidRDefault="00FB3753" w:rsidP="00B03E65">
      <w:pPr>
        <w:rPr>
          <w:rStyle w:val="A1"/>
        </w:rPr>
      </w:pPr>
      <w:r>
        <w:rPr>
          <w:rStyle w:val="A1"/>
        </w:rPr>
        <w:t>Suffering from the combined impact of severe drought and worsening insecurity</w:t>
      </w:r>
      <w:r w:rsidR="00E86A3A">
        <w:rPr>
          <w:rStyle w:val="A1"/>
        </w:rPr>
        <w:t xml:space="preserve"> </w:t>
      </w:r>
      <w:r>
        <w:rPr>
          <w:rStyle w:val="A1"/>
        </w:rPr>
        <w:t>and host to unprecedented numbers returning from abroad, Afghanistan is in the grip of an acute humanitarian cr</w:t>
      </w:r>
      <w:bookmarkStart w:id="0" w:name="_GoBack"/>
      <w:bookmarkEnd w:id="0"/>
      <w:r>
        <w:rPr>
          <w:rStyle w:val="A1"/>
        </w:rPr>
        <w:t>isis</w:t>
      </w:r>
      <w:r w:rsidR="00E86A3A">
        <w:rPr>
          <w:rStyle w:val="A1"/>
        </w:rPr>
        <w:t xml:space="preserve"> overlying an existing context of extreme fragility.</w:t>
      </w:r>
      <w:r w:rsidR="00D753E0">
        <w:rPr>
          <w:rStyle w:val="A1"/>
        </w:rPr>
        <w:t xml:space="preserve"> In 2018 more than 550,000 Afghans left their homes, joining the more than 1.2 million already displaced in the country</w:t>
      </w:r>
      <w:r w:rsidR="00E86A3A">
        <w:rPr>
          <w:rStyle w:val="A1"/>
        </w:rPr>
        <w:t>.</w:t>
      </w:r>
      <w:r w:rsidR="00D753E0">
        <w:rPr>
          <w:rStyle w:val="A1"/>
        </w:rPr>
        <w:t xml:space="preserve"> </w:t>
      </w:r>
      <w:r w:rsidR="00F70B57">
        <w:rPr>
          <w:rStyle w:val="A1"/>
        </w:rPr>
        <w:t xml:space="preserve">In addition, unprecedented numbers of Afghans are returning from displacement in neighbouring Iran and Pakistan. More than </w:t>
      </w:r>
      <w:r w:rsidR="003525E3">
        <w:rPr>
          <w:rStyle w:val="A1"/>
        </w:rPr>
        <w:t xml:space="preserve">670,000 people have returned from Iran alone during the last 12 months. </w:t>
      </w:r>
      <w:r w:rsidR="00B03E65">
        <w:rPr>
          <w:rStyle w:val="A1"/>
        </w:rPr>
        <w:t>Returnees and the internally displaced have tended to gather in urban and peri-urban areas</w:t>
      </w:r>
      <w:r w:rsidR="006976DA">
        <w:rPr>
          <w:rStyle w:val="A1"/>
        </w:rPr>
        <w:t xml:space="preserve"> already struggling with labour market saturation and a moribund economy. </w:t>
      </w:r>
      <w:r w:rsidR="003525E3">
        <w:rPr>
          <w:rStyle w:val="A1"/>
        </w:rPr>
        <w:t xml:space="preserve">Within this context of large-scale movements of people, the humanitarian situation continues to deteriorate. The UN predicted that 3.3 million people would require humanitarian support in 2018. In 2019 that number has almost doubled to 6.3 million. Of this number, 3.9 million will require food and livelihoods support. </w:t>
      </w:r>
    </w:p>
    <w:p w14:paraId="701D20F4" w14:textId="28861E7D" w:rsidR="00B03E65" w:rsidRDefault="00B03E65" w:rsidP="00B03E65"/>
    <w:p w14:paraId="04905A3D" w14:textId="52A3B2E7" w:rsidR="007E6BA0" w:rsidRDefault="00B03E65" w:rsidP="00B03E65">
      <w:r>
        <w:t>With the onset of the drought ADSP member agencies have focused their attention on providing</w:t>
      </w:r>
      <w:r w:rsidR="006976DA">
        <w:t xml:space="preserve"> </w:t>
      </w:r>
      <w:r>
        <w:t>life</w:t>
      </w:r>
      <w:r w:rsidR="006976DA">
        <w:t>-</w:t>
      </w:r>
      <w:r>
        <w:t xml:space="preserve">saving support to </w:t>
      </w:r>
      <w:r w:rsidR="006976DA">
        <w:t xml:space="preserve">displacement affected communities. However, </w:t>
      </w:r>
      <w:r w:rsidR="007E6BA0">
        <w:t>the combined events of 2018 have emphasised Afghanistan’s inherent fragility to shocks</w:t>
      </w:r>
      <w:r w:rsidR="00DE4AE6">
        <w:t xml:space="preserve"> </w:t>
      </w:r>
      <w:r w:rsidR="007E6BA0">
        <w:t xml:space="preserve">and underlined the failure of the humanitarian community to </w:t>
      </w:r>
      <w:r w:rsidR="00DE4AE6">
        <w:t xml:space="preserve">ensure that resilience is built into all forms of its programming. With </w:t>
      </w:r>
      <w:r w:rsidR="00176ED5">
        <w:t xml:space="preserve">drought and conflict </w:t>
      </w:r>
      <w:r w:rsidR="00DE4AE6">
        <w:t>response</w:t>
      </w:r>
      <w:r w:rsidR="00176ED5">
        <w:t>s</w:t>
      </w:r>
      <w:r w:rsidR="00DE4AE6">
        <w:t xml:space="preserve"> underway, the actors involved should already be ensuring that they have early recovery at the forefront of their interventions</w:t>
      </w:r>
      <w:r w:rsidR="00F6506D">
        <w:t>. While the necessity of emergency interventions cannot be doubted during the early phases of an emergency, they do little to address and mitigate the structural limitations and challenges which act as a break on development and may even impede communities’ pathways to early recovery.</w:t>
      </w:r>
      <w:r w:rsidR="00B11182">
        <w:t xml:space="preserve"> </w:t>
      </w:r>
    </w:p>
    <w:p w14:paraId="60458300" w14:textId="65BF891D" w:rsidR="00B11182" w:rsidRDefault="00B11182" w:rsidP="00B03E65"/>
    <w:p w14:paraId="7FFC0FDF" w14:textId="691DD2C0" w:rsidR="00B11182" w:rsidRDefault="00B11182" w:rsidP="00B03E65">
      <w:r>
        <w:t xml:space="preserve">Often, programming interventions are recycled from context to context, without sufficient thought to the distinct demography, vulnerability profile and economic environment in which they are implemented. In addition, programmatic and policy interventions are rarely developed in tandem, with the result that programmes </w:t>
      </w:r>
      <w:r w:rsidR="00F34C4F">
        <w:t>make short</w:t>
      </w:r>
      <w:r w:rsidR="00176ED5">
        <w:t>-</w:t>
      </w:r>
      <w:r w:rsidR="00F34C4F">
        <w:t xml:space="preserve">term improvements to </w:t>
      </w:r>
      <w:r w:rsidR="00176ED5">
        <w:t>individuals’</w:t>
      </w:r>
      <w:r w:rsidR="00F34C4F">
        <w:t xml:space="preserve"> quality of li</w:t>
      </w:r>
      <w:r w:rsidR="00176ED5">
        <w:t xml:space="preserve">fe </w:t>
      </w:r>
      <w:r w:rsidR="00F34C4F">
        <w:t>but fail to successfully engage with restrictive or counterproductive policy environments. More concerningly, by failing to adequately consider the needs of the community as a whole they may also inadvertently entrench existing vulnerabilities</w:t>
      </w:r>
      <w:r w:rsidR="006E467B">
        <w:t>, or neglect opportunities for multi-disciplinary interventions.</w:t>
      </w:r>
    </w:p>
    <w:p w14:paraId="5272CC24" w14:textId="190E5AD8" w:rsidR="00B11182" w:rsidRDefault="00B11182" w:rsidP="00B03E65"/>
    <w:p w14:paraId="6E90CB92" w14:textId="5AAD4264" w:rsidR="00C6233F" w:rsidRDefault="00C6233F" w:rsidP="00C6233F">
      <w:pPr>
        <w:pStyle w:val="ListParagraph"/>
        <w:numPr>
          <w:ilvl w:val="0"/>
          <w:numId w:val="8"/>
        </w:numPr>
      </w:pPr>
      <w:r>
        <w:t>Aim of the activity</w:t>
      </w:r>
    </w:p>
    <w:p w14:paraId="532FE7BA" w14:textId="4A0EBDC3" w:rsidR="00405843" w:rsidRDefault="00C6233F" w:rsidP="00C6233F">
      <w:r>
        <w:t xml:space="preserve">ADSP member agencies are seeking to develop </w:t>
      </w:r>
      <w:r w:rsidR="00372389">
        <w:t xml:space="preserve">a </w:t>
      </w:r>
      <w:r>
        <w:t>comprehensive, multi-sector</w:t>
      </w:r>
      <w:r w:rsidR="00E350EC">
        <w:t xml:space="preserve"> area</w:t>
      </w:r>
      <w:r>
        <w:t xml:space="preserve"> response plan to guide their programming and policy interventions for the coming</w:t>
      </w:r>
      <w:r w:rsidR="00372389">
        <w:t xml:space="preserve"> three to</w:t>
      </w:r>
      <w:r>
        <w:t xml:space="preserve"> five years. </w:t>
      </w:r>
      <w:r w:rsidR="00451D4E">
        <w:t>The plans aim</w:t>
      </w:r>
      <w:r w:rsidR="00372389">
        <w:t xml:space="preserve"> to</w:t>
      </w:r>
      <w:r w:rsidR="00451D4E">
        <w:t xml:space="preserve"> support effective and appropriate early recovery activities, in order to contribute to</w:t>
      </w:r>
      <w:r w:rsidR="007D4224">
        <w:t xml:space="preserve"> those communities’</w:t>
      </w:r>
      <w:r w:rsidR="00451D4E">
        <w:t xml:space="preserve"> improved resilience. </w:t>
      </w:r>
      <w:r w:rsidR="00372389">
        <w:t xml:space="preserve">The plans will take as their main target group displaced populations who have passed the initial emergency phase of displacement, but who have not been displaced long enough to </w:t>
      </w:r>
      <w:r w:rsidR="007814F0">
        <w:t>be targeted by development and durable solutions-focused programmes. The exact profile of the target population will be identified during the activity’s inception phase</w:t>
      </w:r>
      <w:r w:rsidR="00E13BEC">
        <w:t xml:space="preserve">, but the activity should focus on those displaced between 6 </w:t>
      </w:r>
      <w:r w:rsidR="00DC7B19">
        <w:t xml:space="preserve">– 36 months. Given ADSP’s commitment to supporting communities affected by displacement, the needs of the host community and those in different stages of displacement should also be considered. </w:t>
      </w:r>
    </w:p>
    <w:p w14:paraId="0DA18982" w14:textId="77777777" w:rsidR="00405843" w:rsidRDefault="00405843" w:rsidP="00C6233F"/>
    <w:p w14:paraId="3FFE1C20" w14:textId="10CDE511" w:rsidR="00E11F6F" w:rsidRDefault="009E26DF" w:rsidP="00C6233F">
      <w:r>
        <w:t>T</w:t>
      </w:r>
      <w:r w:rsidR="00C6233F">
        <w:t>he p</w:t>
      </w:r>
      <w:r w:rsidR="00405843">
        <w:t>lan must comprise in-depth analysis of the obstacles to durable solutions and early recovery, and multi-sectoral programmes for intervention which</w:t>
      </w:r>
      <w:r w:rsidR="007D4224">
        <w:t xml:space="preserve"> apply</w:t>
      </w:r>
      <w:r w:rsidR="00C6233F">
        <w:t xml:space="preserve"> across the continuum of needs, from emergency response to long-term recovery projects – recognising that these phases are rarely sequential. </w:t>
      </w:r>
      <w:r w:rsidR="00D0185F">
        <w:t xml:space="preserve">The plans should be </w:t>
      </w:r>
      <w:r w:rsidR="00D0185F">
        <w:lastRenderedPageBreak/>
        <w:t>evidence-based and should fundamentally challenge the assumptions which are currently used to inform programme development. They should adopt a whole of community, needs driven approach, rather than relying upon status-based</w:t>
      </w:r>
      <w:r w:rsidR="00E350EC">
        <w:t xml:space="preserve"> or single-sector</w:t>
      </w:r>
      <w:r w:rsidR="00D0185F">
        <w:t xml:space="preserve"> interventions. </w:t>
      </w:r>
      <w:r w:rsidR="00AF7000">
        <w:t xml:space="preserve">The plan must also take into account existing policies, such as government’s area-based action plans and national-level programmes, to ensure that they are adequately reflected.  </w:t>
      </w:r>
    </w:p>
    <w:p w14:paraId="4CC82D4E" w14:textId="77777777" w:rsidR="00E11F6F" w:rsidRDefault="00E11F6F" w:rsidP="00C6233F"/>
    <w:p w14:paraId="2893B757" w14:textId="3F089966" w:rsidR="007D4224" w:rsidRDefault="00E11F6F" w:rsidP="00C6233F">
      <w:r>
        <w:t xml:space="preserve">The member agencies will use these plans as roadmaps for </w:t>
      </w:r>
      <w:r w:rsidR="0043146E">
        <w:t>programming</w:t>
      </w:r>
      <w:r>
        <w:t xml:space="preserve">, tools for fundraising, and starting points for policy and advocacy interventions. They will also use them to build broad-based coalitions of implementors, in order to </w:t>
      </w:r>
      <w:r w:rsidR="00D0185F">
        <w:t xml:space="preserve">amplify impact and ensure a diverse range of skills. </w:t>
      </w:r>
      <w:r w:rsidR="00C6233F">
        <w:t xml:space="preserve"> </w:t>
      </w:r>
    </w:p>
    <w:p w14:paraId="47F1A83C" w14:textId="1CCFD8E5" w:rsidR="00C04199" w:rsidRDefault="00C04199" w:rsidP="00C6233F"/>
    <w:p w14:paraId="6CC08D86" w14:textId="0CE62DC9" w:rsidR="00C04199" w:rsidRDefault="00C04199" w:rsidP="00C6233F">
      <w:r>
        <w:t xml:space="preserve">The ADSP is seeking a consultant who is able to develop the tools and research methodology and oversee the process of data collection and analysis. Given the expertise of ADSP’s members, the consultant will not be required to develop the recommendations and action plans in a vacuum. Rather, they will be expected to facilitate the process through which the member agencies review and analyse the data collected, and support them to develop high quality recommendations. </w:t>
      </w:r>
    </w:p>
    <w:p w14:paraId="3D7296EA" w14:textId="77777777" w:rsidR="007D4224" w:rsidRDefault="007D4224" w:rsidP="00C6233F"/>
    <w:p w14:paraId="1B688FCA" w14:textId="20D07D18" w:rsidR="00CE6D2E" w:rsidRDefault="00CE6D2E" w:rsidP="00CE6D2E">
      <w:pPr>
        <w:pStyle w:val="ListParagraph"/>
        <w:numPr>
          <w:ilvl w:val="0"/>
          <w:numId w:val="8"/>
        </w:numPr>
      </w:pPr>
      <w:r>
        <w:t>Locations for the activity</w:t>
      </w:r>
    </w:p>
    <w:p w14:paraId="65CFF7FF" w14:textId="346EB807" w:rsidR="00CE6D2E" w:rsidRDefault="00AF7000" w:rsidP="00CE6D2E">
      <w:r>
        <w:t xml:space="preserve">The study will be conducted in Herat, with a specific focus on urban and peri-urban areas. </w:t>
      </w:r>
      <w:r w:rsidR="00CE6D2E">
        <w:t xml:space="preserve">The </w:t>
      </w:r>
      <w:r>
        <w:t xml:space="preserve">consultants should propose a </w:t>
      </w:r>
      <w:r w:rsidR="00CE6D2E">
        <w:t xml:space="preserve">definition of urban and peri-urban </w:t>
      </w:r>
      <w:r>
        <w:t xml:space="preserve">areas, and use this to identify specific areas for study. The exact locations targeted will be agreed upon during the </w:t>
      </w:r>
      <w:r w:rsidR="00CE6D2E">
        <w:t>activity’s inception phase.</w:t>
      </w:r>
    </w:p>
    <w:p w14:paraId="55CE7A0F" w14:textId="6D2D8091" w:rsidR="00CE6D2E" w:rsidRDefault="00CE6D2E" w:rsidP="00CE6D2E"/>
    <w:p w14:paraId="54D5C4D8" w14:textId="1928FF2C" w:rsidR="00196FB6" w:rsidRDefault="00405843" w:rsidP="00196FB6">
      <w:pPr>
        <w:pStyle w:val="ListParagraph"/>
        <w:numPr>
          <w:ilvl w:val="0"/>
          <w:numId w:val="8"/>
        </w:numPr>
      </w:pPr>
      <w:r>
        <w:t>Research questions</w:t>
      </w:r>
    </w:p>
    <w:p w14:paraId="77CFC5C7" w14:textId="1A117B1B" w:rsidR="00196FB6" w:rsidRDefault="00196FB6" w:rsidP="00196FB6">
      <w:r>
        <w:t>The overarching research question guiding these activities is:</w:t>
      </w:r>
    </w:p>
    <w:p w14:paraId="0F4E98C4" w14:textId="2EA46B9A" w:rsidR="00405843" w:rsidRDefault="00405843" w:rsidP="00405843"/>
    <w:p w14:paraId="6A3BE2BB" w14:textId="591510AA" w:rsidR="0043146E" w:rsidRDefault="0043146E" w:rsidP="0043146E">
      <w:pPr>
        <w:rPr>
          <w:b/>
        </w:rPr>
      </w:pPr>
      <w:r w:rsidRPr="00196FB6">
        <w:rPr>
          <w:b/>
        </w:rPr>
        <w:t xml:space="preserve">What programming and policy interventions </w:t>
      </w:r>
      <w:r w:rsidR="00196FB6" w:rsidRPr="00196FB6">
        <w:rPr>
          <w:b/>
        </w:rPr>
        <w:t>can</w:t>
      </w:r>
      <w:r w:rsidRPr="00196FB6">
        <w:rPr>
          <w:b/>
        </w:rPr>
        <w:t xml:space="preserve"> effectively support early recovery and contribute to</w:t>
      </w:r>
      <w:r w:rsidR="00196FB6" w:rsidRPr="00196FB6">
        <w:rPr>
          <w:b/>
        </w:rPr>
        <w:t xml:space="preserve"> </w:t>
      </w:r>
      <w:r w:rsidRPr="00196FB6">
        <w:rPr>
          <w:b/>
        </w:rPr>
        <w:t>communities’ resilience</w:t>
      </w:r>
      <w:r w:rsidR="00196FB6" w:rsidRPr="00196FB6">
        <w:rPr>
          <w:b/>
        </w:rPr>
        <w:t xml:space="preserve"> to shocks?</w:t>
      </w:r>
    </w:p>
    <w:p w14:paraId="182D3B34" w14:textId="1A44ED85" w:rsidR="00196FB6" w:rsidRDefault="00196FB6" w:rsidP="0043146E">
      <w:pPr>
        <w:rPr>
          <w:b/>
        </w:rPr>
      </w:pPr>
    </w:p>
    <w:p w14:paraId="6158C08F" w14:textId="0C20333D" w:rsidR="00196FB6" w:rsidRDefault="0078060E" w:rsidP="0043146E">
      <w:r>
        <w:t>In order to adequately answer the research question, the following deliverables are required:</w:t>
      </w:r>
    </w:p>
    <w:p w14:paraId="759E1051" w14:textId="4BE4DE93" w:rsidR="00196FB6" w:rsidRDefault="00196FB6" w:rsidP="0043146E"/>
    <w:p w14:paraId="7D1552BF" w14:textId="2A5B9044" w:rsidR="001679F1" w:rsidRPr="006E09B9" w:rsidRDefault="0078060E" w:rsidP="001679F1">
      <w:pPr>
        <w:pStyle w:val="ListParagraph"/>
        <w:numPr>
          <w:ilvl w:val="0"/>
          <w:numId w:val="13"/>
        </w:numPr>
        <w:rPr>
          <w:i/>
        </w:rPr>
      </w:pPr>
      <w:r w:rsidRPr="006E09B9">
        <w:rPr>
          <w:i/>
        </w:rPr>
        <w:t>Context analysis and establishment of baseline</w:t>
      </w:r>
      <w:r w:rsidR="00960FE5">
        <w:rPr>
          <w:i/>
        </w:rPr>
        <w:t xml:space="preserve"> – 20%</w:t>
      </w:r>
      <w:r w:rsidR="00DE7405">
        <w:rPr>
          <w:i/>
        </w:rPr>
        <w:t xml:space="preserve"> level of effort</w:t>
      </w:r>
    </w:p>
    <w:p w14:paraId="6C17B276" w14:textId="01D5B588" w:rsidR="001679F1" w:rsidRDefault="00745C39" w:rsidP="001679F1">
      <w:pPr>
        <w:pStyle w:val="ListParagraph"/>
        <w:numPr>
          <w:ilvl w:val="1"/>
          <w:numId w:val="13"/>
        </w:numPr>
      </w:pPr>
      <w:r>
        <w:t xml:space="preserve">Develop an analysis tool which can be used to establish a baseline understanding of the context. The tool must be </w:t>
      </w:r>
      <w:r w:rsidR="00DA43EF">
        <w:t xml:space="preserve">user-friendly and suitable for the partners to use as part of an ongoing impact evaluation process. </w:t>
      </w:r>
      <w:r w:rsidR="00960FE5">
        <w:t xml:space="preserve">The tool should reflect work that has already been done in this area, for example the ReDSS Solutions Framework, the IASC Framework on Durable Solutions, JIPS Durable Solutions Indicator Library etc. </w:t>
      </w:r>
    </w:p>
    <w:p w14:paraId="40B88345" w14:textId="1CC331AE" w:rsidR="00392C09" w:rsidRDefault="009D747A" w:rsidP="001679F1">
      <w:pPr>
        <w:pStyle w:val="ListParagraph"/>
        <w:numPr>
          <w:ilvl w:val="1"/>
          <w:numId w:val="13"/>
        </w:numPr>
      </w:pPr>
      <w:r>
        <w:t>U</w:t>
      </w:r>
      <w:r w:rsidR="00650127">
        <w:t>s</w:t>
      </w:r>
      <w:r>
        <w:t>ing</w:t>
      </w:r>
      <w:r w:rsidR="00650127">
        <w:t xml:space="preserve"> the analysis tool</w:t>
      </w:r>
      <w:r>
        <w:t xml:space="preserve"> and other data collection methodologies,</w:t>
      </w:r>
      <w:r w:rsidR="00DD1A63">
        <w:t xml:space="preserve"> and working closely with the staff of ADSP member agencies,</w:t>
      </w:r>
      <w:r>
        <w:t xml:space="preserve"> e</w:t>
      </w:r>
      <w:r w:rsidR="009F48F1">
        <w:t xml:space="preserve">stablish a </w:t>
      </w:r>
      <w:r w:rsidR="00585DD6">
        <w:t xml:space="preserve">context </w:t>
      </w:r>
      <w:r w:rsidR="009F48F1">
        <w:t>baseline</w:t>
      </w:r>
      <w:r>
        <w:t xml:space="preserve">. The baseline must include detailed analysis of demographics (including age, gender and diversity), areas of origin and socio-economic status, and cross-cutting vulnerability profiles. </w:t>
      </w:r>
      <w:r w:rsidR="00960FE5">
        <w:t xml:space="preserve">The baseline should also consider the status of other key stakeholders </w:t>
      </w:r>
      <w:r w:rsidR="00DD1A63">
        <w:t xml:space="preserve">such as the government, civil society and private sector. </w:t>
      </w:r>
    </w:p>
    <w:p w14:paraId="5BC79F64" w14:textId="1A187D75" w:rsidR="00A1331A" w:rsidRDefault="00A1331A" w:rsidP="00A1331A"/>
    <w:p w14:paraId="04B927CD" w14:textId="3AAA5969" w:rsidR="001679F1" w:rsidRPr="006E09B9" w:rsidRDefault="00CE4D8F" w:rsidP="001679F1">
      <w:pPr>
        <w:pStyle w:val="ListParagraph"/>
        <w:numPr>
          <w:ilvl w:val="0"/>
          <w:numId w:val="13"/>
        </w:numPr>
        <w:rPr>
          <w:i/>
        </w:rPr>
      </w:pPr>
      <w:r w:rsidRPr="006E09B9">
        <w:rPr>
          <w:i/>
        </w:rPr>
        <w:t xml:space="preserve">Identification of obstacles </w:t>
      </w:r>
      <w:r w:rsidR="00714562" w:rsidRPr="006E09B9">
        <w:rPr>
          <w:i/>
        </w:rPr>
        <w:t xml:space="preserve">to </w:t>
      </w:r>
      <w:r w:rsidRPr="006E09B9">
        <w:rPr>
          <w:i/>
        </w:rPr>
        <w:t xml:space="preserve">and </w:t>
      </w:r>
      <w:r w:rsidR="00714562" w:rsidRPr="006E09B9">
        <w:rPr>
          <w:i/>
        </w:rPr>
        <w:t>opportunities</w:t>
      </w:r>
      <w:r w:rsidRPr="006E09B9">
        <w:rPr>
          <w:i/>
        </w:rPr>
        <w:t xml:space="preserve"> </w:t>
      </w:r>
      <w:r w:rsidR="00714562" w:rsidRPr="006E09B9">
        <w:rPr>
          <w:i/>
        </w:rPr>
        <w:t xml:space="preserve">for </w:t>
      </w:r>
      <w:r w:rsidRPr="006E09B9">
        <w:rPr>
          <w:i/>
        </w:rPr>
        <w:t xml:space="preserve">the achievement of community-wide resilience </w:t>
      </w:r>
      <w:r w:rsidR="00DD1A63">
        <w:rPr>
          <w:i/>
        </w:rPr>
        <w:t>– 30%</w:t>
      </w:r>
      <w:r w:rsidR="00DE7405">
        <w:rPr>
          <w:i/>
        </w:rPr>
        <w:t xml:space="preserve"> level of effort</w:t>
      </w:r>
    </w:p>
    <w:p w14:paraId="2796DA4C" w14:textId="6636B6B7" w:rsidR="001679F1" w:rsidRDefault="00DD1A63" w:rsidP="001679F1">
      <w:pPr>
        <w:pStyle w:val="ListParagraph"/>
        <w:numPr>
          <w:ilvl w:val="1"/>
          <w:numId w:val="13"/>
        </w:numPr>
      </w:pPr>
      <w:r>
        <w:t xml:space="preserve">Facilitate the analysis of </w:t>
      </w:r>
      <w:r w:rsidR="00DF6754">
        <w:t>the data in order to identify t</w:t>
      </w:r>
      <w:r w:rsidR="0078060E">
        <w:t xml:space="preserve">he </w:t>
      </w:r>
      <w:r w:rsidR="001679F1">
        <w:t xml:space="preserve">context-specific </w:t>
      </w:r>
      <w:r w:rsidR="0078060E">
        <w:t xml:space="preserve">barriers and opportunities to improving </w:t>
      </w:r>
      <w:r w:rsidR="00AC7EF0">
        <w:t xml:space="preserve">community-wide </w:t>
      </w:r>
      <w:r w:rsidR="0078060E">
        <w:t>resilience. Th</w:t>
      </w:r>
      <w:r w:rsidR="00DF6754">
        <w:t>e consultants must ensure that the</w:t>
      </w:r>
      <w:r w:rsidR="00AC7EF0">
        <w:t xml:space="preserve"> analysis </w:t>
      </w:r>
      <w:r w:rsidR="00DF6754">
        <w:t>is</w:t>
      </w:r>
      <w:r w:rsidR="00AC7EF0">
        <w:t xml:space="preserve"> multi-sector and </w:t>
      </w:r>
      <w:r w:rsidR="00143F8E">
        <w:t>include consideration of both proximate and structural issues</w:t>
      </w:r>
      <w:r w:rsidR="001679F1">
        <w:t>.</w:t>
      </w:r>
      <w:r w:rsidR="00143F8E">
        <w:t xml:space="preserve"> It should consider the roles of a broad range of stakeholders and duty bearers. </w:t>
      </w:r>
    </w:p>
    <w:p w14:paraId="1DC7136B" w14:textId="34DE3BC7" w:rsidR="00CE4D8F" w:rsidRDefault="00DF6754" w:rsidP="001679F1">
      <w:pPr>
        <w:pStyle w:val="ListParagraph"/>
        <w:numPr>
          <w:ilvl w:val="1"/>
          <w:numId w:val="13"/>
        </w:numPr>
      </w:pPr>
      <w:r>
        <w:t>Support ADSP staff to r</w:t>
      </w:r>
      <w:r w:rsidR="00CE4D8F">
        <w:t>eview existing programming interventions with an eye to impact and contextual relevance.</w:t>
      </w:r>
      <w:r>
        <w:t xml:space="preserve"> Highlight </w:t>
      </w:r>
      <w:r w:rsidR="00CE4D8F">
        <w:t xml:space="preserve">programmes which </w:t>
      </w:r>
      <w:r w:rsidR="00DD1A63">
        <w:t>model good</w:t>
      </w:r>
      <w:r w:rsidR="00CE4D8F">
        <w:t xml:space="preserve"> integration of emergency and early recovery principles, </w:t>
      </w:r>
      <w:r w:rsidR="001679F1">
        <w:t>and</w:t>
      </w:r>
      <w:r w:rsidR="00CE4D8F">
        <w:t xml:space="preserve"> highlight</w:t>
      </w:r>
      <w:r w:rsidR="001679F1">
        <w:t xml:space="preserve"> </w:t>
      </w:r>
      <w:r w:rsidR="00CE4D8F">
        <w:t>approaches, methodologies or interventions which demonstrate good practice</w:t>
      </w:r>
      <w:r w:rsidR="001679F1">
        <w:t>.</w:t>
      </w:r>
    </w:p>
    <w:p w14:paraId="758ED049" w14:textId="6E6B8A9D" w:rsidR="0078060E" w:rsidRDefault="0078060E" w:rsidP="0078060E"/>
    <w:p w14:paraId="5038FB4F" w14:textId="0179CF95" w:rsidR="001679F1" w:rsidRPr="006E09B9" w:rsidRDefault="001679F1" w:rsidP="001679F1">
      <w:pPr>
        <w:pStyle w:val="ListParagraph"/>
        <w:numPr>
          <w:ilvl w:val="0"/>
          <w:numId w:val="13"/>
        </w:numPr>
        <w:rPr>
          <w:i/>
        </w:rPr>
      </w:pPr>
      <w:r w:rsidRPr="006E09B9">
        <w:rPr>
          <w:i/>
        </w:rPr>
        <w:t>Development of c</w:t>
      </w:r>
      <w:r w:rsidR="00A1331A" w:rsidRPr="006E09B9">
        <w:rPr>
          <w:i/>
        </w:rPr>
        <w:t>ontext</w:t>
      </w:r>
      <w:r w:rsidRPr="006E09B9">
        <w:rPr>
          <w:i/>
        </w:rPr>
        <w:t>-</w:t>
      </w:r>
      <w:r w:rsidR="00A1331A" w:rsidRPr="006E09B9">
        <w:rPr>
          <w:i/>
        </w:rPr>
        <w:t>specific</w:t>
      </w:r>
      <w:r w:rsidRPr="006E09B9">
        <w:rPr>
          <w:i/>
        </w:rPr>
        <w:t>,</w:t>
      </w:r>
      <w:r w:rsidR="00A1331A" w:rsidRPr="006E09B9">
        <w:rPr>
          <w:i/>
        </w:rPr>
        <w:t xml:space="preserve"> </w:t>
      </w:r>
      <w:r w:rsidR="0049146C">
        <w:rPr>
          <w:i/>
        </w:rPr>
        <w:t>area</w:t>
      </w:r>
      <w:r w:rsidR="00A1331A" w:rsidRPr="006E09B9">
        <w:rPr>
          <w:i/>
        </w:rPr>
        <w:t xml:space="preserve"> </w:t>
      </w:r>
      <w:r w:rsidRPr="006E09B9">
        <w:rPr>
          <w:i/>
        </w:rPr>
        <w:t>action plans</w:t>
      </w:r>
      <w:r w:rsidR="00DE7405">
        <w:rPr>
          <w:i/>
        </w:rPr>
        <w:t xml:space="preserve"> – 50% level of effort</w:t>
      </w:r>
    </w:p>
    <w:p w14:paraId="0C571E30" w14:textId="6BA87E6E" w:rsidR="00E118DA" w:rsidRDefault="00E118DA" w:rsidP="001679F1">
      <w:pPr>
        <w:pStyle w:val="ListParagraph"/>
        <w:numPr>
          <w:ilvl w:val="1"/>
          <w:numId w:val="13"/>
        </w:numPr>
      </w:pPr>
      <w:r>
        <w:t>Facilitate the development of area action plans by working with ADSP member agencies’ technical specialists to analyse and synthesise the collected data.</w:t>
      </w:r>
    </w:p>
    <w:p w14:paraId="5388128A" w14:textId="405DDFCD" w:rsidR="001679F1" w:rsidRDefault="00714562" w:rsidP="00E118DA">
      <w:pPr>
        <w:pStyle w:val="ListParagraph"/>
        <w:numPr>
          <w:ilvl w:val="1"/>
          <w:numId w:val="13"/>
        </w:numPr>
      </w:pPr>
      <w:r>
        <w:lastRenderedPageBreak/>
        <w:t>Th</w:t>
      </w:r>
      <w:r w:rsidR="00E118DA">
        <w:t>e</w:t>
      </w:r>
      <w:r>
        <w:t xml:space="preserve"> action plan must be sensitive to the specific needs of the community as identified in part I</w:t>
      </w:r>
      <w:r w:rsidR="0003672E">
        <w:t xml:space="preserve"> </w:t>
      </w:r>
      <w:r>
        <w:t xml:space="preserve">and respond to the obstacles and opportunities set out in part II. </w:t>
      </w:r>
      <w:r w:rsidR="00E118DA">
        <w:t>It will be the consultants’ responsibility to ensure that the action plan conform</w:t>
      </w:r>
      <w:r w:rsidR="00DE7405">
        <w:t>s</w:t>
      </w:r>
      <w:r w:rsidR="00E118DA">
        <w:t xml:space="preserve"> to the TOR requirements. </w:t>
      </w:r>
    </w:p>
    <w:p w14:paraId="5A98BB29" w14:textId="6C5F93A9" w:rsidR="0003672E" w:rsidRDefault="0003672E" w:rsidP="00DE7405">
      <w:pPr>
        <w:pStyle w:val="ListParagraph"/>
        <w:numPr>
          <w:ilvl w:val="2"/>
          <w:numId w:val="13"/>
        </w:numPr>
      </w:pPr>
      <w:r>
        <w:t xml:space="preserve">Each </w:t>
      </w:r>
      <w:r w:rsidR="0049146C">
        <w:t xml:space="preserve">area </w:t>
      </w:r>
      <w:r>
        <w:t xml:space="preserve">action plan must include activities which respond to the continuum of needs, and which demonstrate integration between emergency and early recovery activities. </w:t>
      </w:r>
    </w:p>
    <w:p w14:paraId="5F29C0D3" w14:textId="73718ACE" w:rsidR="00873798" w:rsidRDefault="00873798" w:rsidP="00DE7405">
      <w:pPr>
        <w:pStyle w:val="ListParagraph"/>
        <w:numPr>
          <w:ilvl w:val="2"/>
          <w:numId w:val="13"/>
        </w:numPr>
      </w:pPr>
      <w:r>
        <w:t xml:space="preserve">In addition, programming recommendations must be accompanied by robust and practical policy and advocacy interventions, aimed at duty bearers and key stakeholders. </w:t>
      </w:r>
    </w:p>
    <w:p w14:paraId="3F78F7AD" w14:textId="29B0B295" w:rsidR="00873798" w:rsidRDefault="00873798" w:rsidP="00DE7405">
      <w:pPr>
        <w:pStyle w:val="ListParagraph"/>
        <w:numPr>
          <w:ilvl w:val="2"/>
          <w:numId w:val="13"/>
        </w:numPr>
      </w:pPr>
      <w:r>
        <w:t xml:space="preserve">Each </w:t>
      </w:r>
      <w:r w:rsidR="0049146C">
        <w:t xml:space="preserve">area plan </w:t>
      </w:r>
      <w:r>
        <w:t>must comprehensively address the identified vulnerability profiles, and must have a strong focus on age, gender and diversity requirements</w:t>
      </w:r>
    </w:p>
    <w:p w14:paraId="5DDE92A1" w14:textId="37A8777F" w:rsidR="0003672E" w:rsidRDefault="00873798" w:rsidP="00DE7405">
      <w:pPr>
        <w:pStyle w:val="ListParagraph"/>
        <w:numPr>
          <w:ilvl w:val="2"/>
          <w:numId w:val="13"/>
        </w:numPr>
      </w:pPr>
      <w:r>
        <w:t>Cross-cutting issues such</w:t>
      </w:r>
      <w:r w:rsidR="0003672E">
        <w:t xml:space="preserve"> </w:t>
      </w:r>
      <w:r>
        <w:t xml:space="preserve">as conflict sensitivity and environmental impact must </w:t>
      </w:r>
      <w:r w:rsidR="006E09B9">
        <w:t xml:space="preserve">be considered in all recommendations. </w:t>
      </w:r>
    </w:p>
    <w:p w14:paraId="207B22FE" w14:textId="40BFFABA" w:rsidR="004B7C7F" w:rsidRDefault="004B7C7F" w:rsidP="004B7C7F"/>
    <w:p w14:paraId="13454B59" w14:textId="7282EB5D" w:rsidR="003C6AB6" w:rsidRDefault="00373F0C" w:rsidP="003C6AB6">
      <w:pPr>
        <w:pStyle w:val="ListParagraph"/>
        <w:numPr>
          <w:ilvl w:val="0"/>
          <w:numId w:val="8"/>
        </w:numPr>
      </w:pPr>
      <w:r>
        <w:t xml:space="preserve">Research plan </w:t>
      </w:r>
    </w:p>
    <w:p w14:paraId="01A65420" w14:textId="4F3B7153" w:rsidR="003C6AB6" w:rsidRDefault="003B3B29" w:rsidP="003C6AB6">
      <w:r>
        <w:t xml:space="preserve">The consultants are </w:t>
      </w:r>
      <w:r w:rsidR="00DE7405">
        <w:t xml:space="preserve">ultimately </w:t>
      </w:r>
      <w:r>
        <w:t>required to produce a single report</w:t>
      </w:r>
      <w:r w:rsidR="00DE7405">
        <w:t>, reflecting each of the three deliverables set out above</w:t>
      </w:r>
      <w:r>
        <w:t>. However, each section of the report must</w:t>
      </w:r>
      <w:r w:rsidR="00DE7405">
        <w:t xml:space="preserve"> also</w:t>
      </w:r>
      <w:r>
        <w:t xml:space="preserve"> be capable of existing as a standalone document. These individual sections should be submitted throughout the research period.</w:t>
      </w:r>
      <w:r w:rsidR="003C6AB6">
        <w:t xml:space="preserve"> This will enable the ADSP to monitor the progress</w:t>
      </w:r>
      <w:r>
        <w:t xml:space="preserve"> of the research</w:t>
      </w:r>
      <w:r w:rsidR="003C6AB6">
        <w:t xml:space="preserve"> and make use of the information as it becomes available. </w:t>
      </w:r>
    </w:p>
    <w:p w14:paraId="1EEB25BD" w14:textId="77777777" w:rsidR="00373F0C" w:rsidRDefault="00373F0C" w:rsidP="004B7C7F"/>
    <w:p w14:paraId="32339D75" w14:textId="3EFF0A02" w:rsidR="00E03C81" w:rsidRDefault="00373F0C" w:rsidP="00E03C81">
      <w:pPr>
        <w:pStyle w:val="ListParagraph"/>
        <w:numPr>
          <w:ilvl w:val="0"/>
          <w:numId w:val="15"/>
        </w:numPr>
      </w:pPr>
      <w:r>
        <w:t>Inception/scoping phase</w:t>
      </w:r>
      <w:r w:rsidR="003B3B29">
        <w:t xml:space="preserve"> – this will include agreement on the baseline analysis tool, review of existing secondary data and proposal for any additional primary data collection. </w:t>
      </w:r>
      <w:r w:rsidR="0066755C">
        <w:t>During this phase the</w:t>
      </w:r>
      <w:r w:rsidR="00DE7405">
        <w:t xml:space="preserve"> exact locations for study will be identified, and the</w:t>
      </w:r>
      <w:r w:rsidR="0066755C">
        <w:t xml:space="preserve"> consultants will also be required to provide definitions of key terms such as resilience and early recovery. </w:t>
      </w:r>
    </w:p>
    <w:p w14:paraId="01770CB3" w14:textId="40A81FAB" w:rsidR="00373F0C" w:rsidRDefault="003B3B29" w:rsidP="00373F0C">
      <w:pPr>
        <w:pStyle w:val="ListParagraph"/>
        <w:numPr>
          <w:ilvl w:val="0"/>
          <w:numId w:val="15"/>
        </w:numPr>
      </w:pPr>
      <w:r>
        <w:t>B</w:t>
      </w:r>
      <w:r w:rsidR="003C6AB6">
        <w:t>aseline analysis report</w:t>
      </w:r>
      <w:r w:rsidR="00CD3067">
        <w:t xml:space="preserve"> – setting out the findings for the first deliverable</w:t>
      </w:r>
    </w:p>
    <w:p w14:paraId="791F2FB5" w14:textId="693551AE" w:rsidR="003B3B29" w:rsidRDefault="003B3B29" w:rsidP="00373F0C">
      <w:pPr>
        <w:pStyle w:val="ListParagraph"/>
        <w:numPr>
          <w:ilvl w:val="0"/>
          <w:numId w:val="15"/>
        </w:numPr>
      </w:pPr>
      <w:r>
        <w:t>Obstacles and opportunities report</w:t>
      </w:r>
      <w:r w:rsidR="00CD3067">
        <w:t xml:space="preserve"> – setting out the findings for the second deliverable</w:t>
      </w:r>
    </w:p>
    <w:p w14:paraId="394A2543" w14:textId="196ED7BB" w:rsidR="003B3B29" w:rsidRDefault="003B3B29" w:rsidP="00373F0C">
      <w:pPr>
        <w:pStyle w:val="ListParagraph"/>
        <w:numPr>
          <w:ilvl w:val="0"/>
          <w:numId w:val="15"/>
        </w:numPr>
      </w:pPr>
      <w:r>
        <w:t>Action plans</w:t>
      </w:r>
      <w:r w:rsidR="00CD3067">
        <w:t xml:space="preserve"> – developed facilitating the work of the ADSP members’ technical specialists</w:t>
      </w:r>
    </w:p>
    <w:p w14:paraId="4C56E27F" w14:textId="26EC587D" w:rsidR="00CD3067" w:rsidRDefault="00CD3067" w:rsidP="00373F0C">
      <w:pPr>
        <w:pStyle w:val="ListParagraph"/>
        <w:numPr>
          <w:ilvl w:val="0"/>
          <w:numId w:val="15"/>
        </w:numPr>
      </w:pPr>
      <w:r>
        <w:t xml:space="preserve">Full and final report, pulling together reports II – IV </w:t>
      </w:r>
    </w:p>
    <w:p w14:paraId="6FFF22C6" w14:textId="76B5D4B3" w:rsidR="000104FF" w:rsidRDefault="000104FF" w:rsidP="000104FF"/>
    <w:p w14:paraId="3554219A" w14:textId="53E2223C" w:rsidR="006E09B9" w:rsidRDefault="000104FF" w:rsidP="006E09B9">
      <w:pPr>
        <w:pStyle w:val="ListParagraph"/>
        <w:numPr>
          <w:ilvl w:val="0"/>
          <w:numId w:val="8"/>
        </w:numPr>
      </w:pPr>
      <w:r>
        <w:t>Intended audience</w:t>
      </w:r>
    </w:p>
    <w:p w14:paraId="3B51D14A" w14:textId="6A08E897" w:rsidR="00A1305D" w:rsidRDefault="006E09B9" w:rsidP="006E09B9">
      <w:r>
        <w:t>The intention is to have a comprehensive data source and set of recommendations which can be used by the ADSP member organisations to inform their internal policy and programming</w:t>
      </w:r>
      <w:r w:rsidR="00A1305D">
        <w:t>, and to strengthen their collaboration in Afghanistan</w:t>
      </w:r>
      <w:r>
        <w:t>.</w:t>
      </w:r>
      <w:r w:rsidR="00A1305D">
        <w:t xml:space="preserve"> </w:t>
      </w:r>
    </w:p>
    <w:p w14:paraId="6AE229EB" w14:textId="77777777" w:rsidR="00A1305D" w:rsidRDefault="00A1305D" w:rsidP="006E09B9"/>
    <w:p w14:paraId="1C15EC95" w14:textId="0463019D" w:rsidR="006E09B9" w:rsidRDefault="00A1305D" w:rsidP="006E09B9">
      <w:r>
        <w:t xml:space="preserve">The data will be made available in </w:t>
      </w:r>
      <w:r w:rsidR="00CD3067">
        <w:t>various</w:t>
      </w:r>
      <w:r>
        <w:t xml:space="preserve"> form to </w:t>
      </w:r>
      <w:r w:rsidR="00CD3067">
        <w:t>support</w:t>
      </w:r>
      <w:r>
        <w:t xml:space="preserve"> advocacy and policy interventions and fundraising. </w:t>
      </w:r>
      <w:r w:rsidR="004B7C7F">
        <w:t xml:space="preserve">ADSP and the member agencies will conduct briefings with donors and other key stakeholders, as well as with relevant government bodies and state duty bearers. </w:t>
      </w:r>
    </w:p>
    <w:p w14:paraId="48605FC0" w14:textId="54FD0346" w:rsidR="002B48B2" w:rsidRDefault="002B48B2" w:rsidP="00EE3E01"/>
    <w:p w14:paraId="75D9EA9C" w14:textId="1A13ED97" w:rsidR="000104FF" w:rsidRDefault="000104FF" w:rsidP="000104FF">
      <w:pPr>
        <w:pStyle w:val="ListParagraph"/>
        <w:numPr>
          <w:ilvl w:val="0"/>
          <w:numId w:val="8"/>
        </w:numPr>
      </w:pPr>
      <w:r>
        <w:t>Desired qualifications</w:t>
      </w:r>
    </w:p>
    <w:p w14:paraId="3E8D5BD7" w14:textId="00AC3009" w:rsidR="00475BAE" w:rsidRDefault="000104FF" w:rsidP="000104FF">
      <w:pPr>
        <w:pStyle w:val="ListParagraph"/>
        <w:numPr>
          <w:ilvl w:val="0"/>
          <w:numId w:val="17"/>
        </w:numPr>
      </w:pPr>
      <w:r>
        <w:t>The successful applicant</w:t>
      </w:r>
      <w:r w:rsidR="00475BAE">
        <w:t xml:space="preserve">s </w:t>
      </w:r>
      <w:r>
        <w:t xml:space="preserve">will have a proven track record of designing and delivering complex, multi-sector, multi-location </w:t>
      </w:r>
      <w:r w:rsidR="00475BAE">
        <w:t>research projects</w:t>
      </w:r>
    </w:p>
    <w:p w14:paraId="41BEA0AB" w14:textId="65418CB8" w:rsidR="00736F54" w:rsidRDefault="00475BAE" w:rsidP="00736F54">
      <w:pPr>
        <w:pStyle w:val="ListParagraph"/>
        <w:numPr>
          <w:ilvl w:val="0"/>
          <w:numId w:val="17"/>
        </w:numPr>
      </w:pPr>
      <w:r>
        <w:t xml:space="preserve">A high level of technical expertise in </w:t>
      </w:r>
      <w:r w:rsidR="00ED1949">
        <w:t xml:space="preserve">key programming sectors </w:t>
      </w:r>
      <w:r>
        <w:t>is essential,</w:t>
      </w:r>
      <w:r w:rsidR="00736F54">
        <w:t xml:space="preserve"> as is proven experience working in both emergency and early recovery contexts. Preference will be given to the applicant who can demonstrate previous experience of developing and implementing integrated programming. </w:t>
      </w:r>
    </w:p>
    <w:p w14:paraId="3AA07632" w14:textId="613969B6" w:rsidR="00736F54" w:rsidRDefault="00736F54" w:rsidP="00736F54">
      <w:pPr>
        <w:pStyle w:val="ListParagraph"/>
        <w:numPr>
          <w:ilvl w:val="0"/>
          <w:numId w:val="17"/>
        </w:numPr>
      </w:pPr>
      <w:r>
        <w:t xml:space="preserve">Extensive knowledge of the Afghan context is essential, and specific knowledge of the target </w:t>
      </w:r>
      <w:r w:rsidR="003642E6">
        <w:t>areas is preferred.</w:t>
      </w:r>
    </w:p>
    <w:p w14:paraId="424CF142" w14:textId="09E85577" w:rsidR="00475BAE" w:rsidRDefault="00475BAE" w:rsidP="000104FF">
      <w:pPr>
        <w:pStyle w:val="ListParagraph"/>
        <w:numPr>
          <w:ilvl w:val="0"/>
          <w:numId w:val="17"/>
        </w:numPr>
      </w:pPr>
      <w:r>
        <w:t xml:space="preserve">The successful applicants will be </w:t>
      </w:r>
      <w:r w:rsidR="003642E6">
        <w:t>able to provide their own logistics, security and admin support</w:t>
      </w:r>
      <w:r w:rsidR="00A677E3">
        <w:t xml:space="preserve">, and should factor this into their financial proposal. </w:t>
      </w:r>
    </w:p>
    <w:p w14:paraId="409D18DB" w14:textId="77777777" w:rsidR="00063D84" w:rsidRDefault="00063D84" w:rsidP="00063D84"/>
    <w:p w14:paraId="7AFCF54A" w14:textId="2C988339" w:rsidR="00C802BA" w:rsidRDefault="00063D84" w:rsidP="00063D84">
      <w:pPr>
        <w:pStyle w:val="ListParagraph"/>
        <w:numPr>
          <w:ilvl w:val="0"/>
          <w:numId w:val="8"/>
        </w:numPr>
      </w:pPr>
      <w:r>
        <w:t>Timeframe of the assignment</w:t>
      </w:r>
    </w:p>
    <w:p w14:paraId="04617D6F" w14:textId="2809A2C1" w:rsidR="00063D84" w:rsidRDefault="00063D84" w:rsidP="00063D84">
      <w:r>
        <w:t xml:space="preserve">The activity will be conducted from </w:t>
      </w:r>
      <w:r w:rsidR="00CD3067">
        <w:t>April</w:t>
      </w:r>
      <w:r>
        <w:t xml:space="preserve"> 2019 to </w:t>
      </w:r>
      <w:r w:rsidR="00601A9E">
        <w:t xml:space="preserve">August </w:t>
      </w:r>
      <w:r>
        <w:t xml:space="preserve">2019. </w:t>
      </w:r>
    </w:p>
    <w:p w14:paraId="3A948A11" w14:textId="77777777" w:rsidR="000A44F7" w:rsidRDefault="000A44F7" w:rsidP="00063D84"/>
    <w:p w14:paraId="7EBAC2C8" w14:textId="3DEE87D3" w:rsidR="00FD4592" w:rsidRDefault="00FD4592" w:rsidP="00FD4592">
      <w:pPr>
        <w:pStyle w:val="ListParagraph"/>
        <w:numPr>
          <w:ilvl w:val="0"/>
          <w:numId w:val="8"/>
        </w:numPr>
      </w:pPr>
      <w:r>
        <w:t>Application process</w:t>
      </w:r>
    </w:p>
    <w:p w14:paraId="1C8EAB5F" w14:textId="77777777" w:rsidR="00FD4592" w:rsidRDefault="00FD4592" w:rsidP="00FD4592">
      <w:pPr>
        <w:ind w:left="360" w:right="52"/>
        <w:jc w:val="both"/>
        <w:rPr>
          <w:rFonts w:ascii="Arial" w:hAnsi="Arial" w:cs="Arial"/>
        </w:rPr>
      </w:pPr>
    </w:p>
    <w:p w14:paraId="7C57B9B4" w14:textId="4EF4B348" w:rsidR="00FD4592" w:rsidRPr="00FD4592" w:rsidRDefault="00FD4592" w:rsidP="00FD4592">
      <w:pPr>
        <w:ind w:left="360" w:right="52"/>
        <w:jc w:val="both"/>
        <w:rPr>
          <w:rFonts w:ascii="Arial" w:hAnsi="Arial" w:cs="Arial"/>
        </w:rPr>
      </w:pPr>
      <w:r w:rsidRPr="00FD4592">
        <w:rPr>
          <w:rFonts w:ascii="Arial" w:hAnsi="Arial" w:cs="Arial"/>
        </w:rPr>
        <w:t xml:space="preserve">Interested applicants who meet the required profile are invited to submit an expression of interest including:  </w:t>
      </w:r>
    </w:p>
    <w:p w14:paraId="4C7C39AF" w14:textId="06415320" w:rsidR="00FD4592" w:rsidRPr="004443ED" w:rsidRDefault="00FD4592" w:rsidP="00FD4592">
      <w:pPr>
        <w:pStyle w:val="ListParagraph"/>
        <w:numPr>
          <w:ilvl w:val="1"/>
          <w:numId w:val="8"/>
        </w:numPr>
        <w:ind w:right="52"/>
        <w:jc w:val="both"/>
        <w:rPr>
          <w:rFonts w:ascii="Arial" w:hAnsi="Arial" w:cs="Arial"/>
        </w:rPr>
      </w:pPr>
      <w:r w:rsidRPr="004443ED">
        <w:rPr>
          <w:rFonts w:ascii="Arial" w:hAnsi="Arial" w:cs="Arial"/>
        </w:rPr>
        <w:lastRenderedPageBreak/>
        <w:t>A suitability statement and CV of participating consultant(s) with details of qualifications and experience.</w:t>
      </w:r>
      <w:r>
        <w:rPr>
          <w:rFonts w:ascii="Arial" w:hAnsi="Arial" w:cs="Arial"/>
        </w:rPr>
        <w:t xml:space="preserve"> A clear commitment must be made regarding the lead consultant, including the amount of time they will dedicate to the project. </w:t>
      </w:r>
    </w:p>
    <w:p w14:paraId="54BDBBD3" w14:textId="77777777" w:rsidR="00FD4592" w:rsidRPr="004443ED" w:rsidRDefault="00FD4592" w:rsidP="00FD4592">
      <w:pPr>
        <w:pStyle w:val="ListParagraph"/>
        <w:numPr>
          <w:ilvl w:val="1"/>
          <w:numId w:val="8"/>
        </w:numPr>
        <w:ind w:right="52"/>
        <w:jc w:val="both"/>
        <w:rPr>
          <w:rFonts w:ascii="Arial" w:hAnsi="Arial" w:cs="Arial"/>
        </w:rPr>
      </w:pPr>
      <w:r w:rsidRPr="004443ED">
        <w:rPr>
          <w:rFonts w:ascii="Arial" w:hAnsi="Arial" w:cs="Arial"/>
        </w:rPr>
        <w:t>List of relevant research projects conducted by the applicant</w:t>
      </w:r>
    </w:p>
    <w:p w14:paraId="0DDB71E9" w14:textId="77777777" w:rsidR="00FD4592" w:rsidRPr="004443ED" w:rsidRDefault="00FD4592" w:rsidP="00FD4592">
      <w:pPr>
        <w:pStyle w:val="ListParagraph"/>
        <w:numPr>
          <w:ilvl w:val="1"/>
          <w:numId w:val="8"/>
        </w:numPr>
        <w:ind w:right="52"/>
        <w:jc w:val="both"/>
        <w:rPr>
          <w:rFonts w:ascii="Arial" w:hAnsi="Arial" w:cs="Arial"/>
        </w:rPr>
      </w:pPr>
      <w:r w:rsidRPr="004443ED">
        <w:rPr>
          <w:rFonts w:ascii="Arial" w:hAnsi="Arial" w:cs="Arial"/>
        </w:rPr>
        <w:t>A 5,000-word writing sample from a recent report or paper on a topic related to the assignment. </w:t>
      </w:r>
    </w:p>
    <w:p w14:paraId="36ADAC78" w14:textId="14B5947E" w:rsidR="00FD4592" w:rsidRDefault="00FD4592" w:rsidP="00FD4592">
      <w:pPr>
        <w:pStyle w:val="ListParagraph"/>
        <w:numPr>
          <w:ilvl w:val="1"/>
          <w:numId w:val="8"/>
        </w:numPr>
        <w:ind w:right="52"/>
        <w:jc w:val="both"/>
        <w:rPr>
          <w:rFonts w:ascii="Arial" w:hAnsi="Arial" w:cs="Arial"/>
        </w:rPr>
      </w:pPr>
      <w:r w:rsidRPr="004443ED">
        <w:rPr>
          <w:rFonts w:ascii="Arial" w:hAnsi="Arial" w:cs="Arial"/>
        </w:rPr>
        <w:t>3 pages’ technical proposal that summarizes understanding of the TOR, methodology and tools to be adopted. </w:t>
      </w:r>
    </w:p>
    <w:p w14:paraId="150E591A" w14:textId="3658C536" w:rsidR="00601A9E" w:rsidRPr="004443ED" w:rsidRDefault="00601A9E" w:rsidP="00FD4592">
      <w:pPr>
        <w:pStyle w:val="ListParagraph"/>
        <w:numPr>
          <w:ilvl w:val="1"/>
          <w:numId w:val="8"/>
        </w:numPr>
        <w:ind w:right="52"/>
        <w:jc w:val="both"/>
        <w:rPr>
          <w:rFonts w:ascii="Arial" w:hAnsi="Arial" w:cs="Arial"/>
        </w:rPr>
      </w:pPr>
      <w:r>
        <w:rPr>
          <w:rFonts w:ascii="Arial" w:hAnsi="Arial" w:cs="Arial"/>
        </w:rPr>
        <w:t xml:space="preserve">A timeframe for delivery of all of the deliverables set out in section 6 </w:t>
      </w:r>
    </w:p>
    <w:p w14:paraId="077F9904" w14:textId="77777777" w:rsidR="00FD4592" w:rsidRDefault="00FD4592" w:rsidP="00FD4592">
      <w:pPr>
        <w:pStyle w:val="ListParagraph"/>
        <w:numPr>
          <w:ilvl w:val="1"/>
          <w:numId w:val="8"/>
        </w:numPr>
        <w:ind w:right="52"/>
        <w:jc w:val="both"/>
        <w:rPr>
          <w:rFonts w:ascii="Arial" w:hAnsi="Arial" w:cs="Arial"/>
        </w:rPr>
      </w:pPr>
      <w:r w:rsidRPr="004443ED">
        <w:rPr>
          <w:rFonts w:ascii="Arial" w:hAnsi="Arial" w:cs="Arial"/>
        </w:rPr>
        <w:t>Financial proposal with budget providing cost estimates (both administrative and professional fees). </w:t>
      </w:r>
    </w:p>
    <w:p w14:paraId="02DD7615" w14:textId="2EB569A2" w:rsidR="00FD4592" w:rsidRDefault="00FD4592" w:rsidP="00FD4592">
      <w:pPr>
        <w:pStyle w:val="ListParagraph"/>
        <w:numPr>
          <w:ilvl w:val="1"/>
          <w:numId w:val="8"/>
        </w:numPr>
        <w:ind w:right="52"/>
        <w:jc w:val="both"/>
        <w:rPr>
          <w:rFonts w:ascii="Arial" w:hAnsi="Arial" w:cs="Arial"/>
        </w:rPr>
      </w:pPr>
      <w:r w:rsidRPr="00FD4592">
        <w:rPr>
          <w:rFonts w:ascii="Arial" w:hAnsi="Arial" w:cs="Arial"/>
        </w:rPr>
        <w:t>Contacts of three organizations that have recently contracted the applicant to carry out similar assignment</w:t>
      </w:r>
    </w:p>
    <w:p w14:paraId="03BA6712" w14:textId="77777777" w:rsidR="00FD4592" w:rsidRPr="004443ED" w:rsidRDefault="00FD4592" w:rsidP="00FD4592">
      <w:pPr>
        <w:spacing w:beforeLines="80" w:before="192" w:afterLines="80" w:after="192"/>
        <w:jc w:val="both"/>
        <w:rPr>
          <w:rFonts w:ascii="Arial" w:eastAsia="Times New Roman" w:hAnsi="Arial" w:cs="Arial"/>
          <w:lang w:val="en-US"/>
        </w:rPr>
      </w:pPr>
      <w:r w:rsidRPr="004443ED">
        <w:rPr>
          <w:rFonts w:ascii="Arial" w:eastAsia="Times New Roman" w:hAnsi="Arial" w:cs="Arial"/>
          <w:lang w:val="en-US"/>
        </w:rPr>
        <w:t xml:space="preserve">For the award of this project, DRC has established evaluation criteria which govern the selection of offers received. Evaluation is made on a technical and financial basis. The percentage assigned to each component is determined in advance as follows: </w:t>
      </w:r>
    </w:p>
    <w:p w14:paraId="2110C853" w14:textId="77777777" w:rsidR="00FD4592" w:rsidRPr="004443ED" w:rsidRDefault="00FD4592" w:rsidP="00FD4592">
      <w:pPr>
        <w:spacing w:beforeLines="80" w:before="192" w:afterLines="80" w:after="192"/>
        <w:jc w:val="both"/>
        <w:rPr>
          <w:rFonts w:ascii="Arial" w:eastAsia="Times New Roman" w:hAnsi="Arial" w:cs="Arial"/>
          <w:lang w:val="en-US"/>
        </w:rPr>
      </w:pPr>
      <w:r w:rsidRPr="004443ED">
        <w:rPr>
          <w:rFonts w:ascii="Arial" w:eastAsia="Times New Roman" w:hAnsi="Arial" w:cs="Arial"/>
          <w:lang w:val="en-US"/>
        </w:rPr>
        <w:t>The technical offer will be evaluated using inter alia the following criteria, and points will be allocated in the scale from 1 – 10 for each of the criteria stipulated below, whereas the weighting is as follows:</w:t>
      </w:r>
    </w:p>
    <w:tbl>
      <w:tblPr>
        <w:tblStyle w:val="TableGrid"/>
        <w:tblW w:w="0" w:type="auto"/>
        <w:tblLook w:val="04A0" w:firstRow="1" w:lastRow="0" w:firstColumn="1" w:lastColumn="0" w:noHBand="0" w:noVBand="1"/>
      </w:tblPr>
      <w:tblGrid>
        <w:gridCol w:w="3539"/>
        <w:gridCol w:w="5476"/>
      </w:tblGrid>
      <w:tr w:rsidR="00FD4592" w:rsidRPr="004443ED" w14:paraId="63B733A7" w14:textId="77777777" w:rsidTr="00350220">
        <w:tc>
          <w:tcPr>
            <w:tcW w:w="3539" w:type="dxa"/>
          </w:tcPr>
          <w:p w14:paraId="1BE1E721" w14:textId="77777777" w:rsidR="00FD4592" w:rsidRPr="004443ED" w:rsidRDefault="00FD4592" w:rsidP="00350220">
            <w:pPr>
              <w:rPr>
                <w:rFonts w:ascii="Arial" w:hAnsi="Arial" w:cs="Arial"/>
                <w:b/>
                <w:sz w:val="20"/>
                <w:szCs w:val="20"/>
              </w:rPr>
            </w:pPr>
            <w:r w:rsidRPr="004443ED">
              <w:rPr>
                <w:rFonts w:ascii="Arial" w:hAnsi="Arial" w:cs="Arial"/>
                <w:b/>
                <w:sz w:val="20"/>
                <w:szCs w:val="20"/>
              </w:rPr>
              <w:t>Company/personnel experience (40%)</w:t>
            </w:r>
          </w:p>
          <w:p w14:paraId="446CA1B3" w14:textId="77777777" w:rsidR="00FD4592" w:rsidRPr="004443ED" w:rsidRDefault="00FD4592" w:rsidP="00350220">
            <w:pPr>
              <w:rPr>
                <w:rFonts w:ascii="Arial" w:hAnsi="Arial" w:cs="Arial"/>
                <w:sz w:val="20"/>
                <w:szCs w:val="20"/>
              </w:rPr>
            </w:pPr>
          </w:p>
          <w:p w14:paraId="16841929" w14:textId="77777777" w:rsidR="00FD4592" w:rsidRPr="004443ED" w:rsidRDefault="00FD4592" w:rsidP="00350220">
            <w:pPr>
              <w:rPr>
                <w:rFonts w:ascii="Arial" w:hAnsi="Arial" w:cs="Arial"/>
                <w:sz w:val="20"/>
                <w:szCs w:val="20"/>
              </w:rPr>
            </w:pPr>
            <w:r w:rsidRPr="004443ED">
              <w:rPr>
                <w:rFonts w:ascii="Arial" w:hAnsi="Arial" w:cs="Arial"/>
                <w:sz w:val="20"/>
                <w:szCs w:val="20"/>
              </w:rPr>
              <w:t>(Documented with the filled-out Supplier Registration Form and a list of last 5 similar research projects executed, including two samples)</w:t>
            </w:r>
          </w:p>
        </w:tc>
        <w:tc>
          <w:tcPr>
            <w:tcW w:w="5476" w:type="dxa"/>
          </w:tcPr>
          <w:p w14:paraId="64C5F828" w14:textId="77777777" w:rsidR="00FD4592" w:rsidRPr="004443ED" w:rsidRDefault="00FD4592" w:rsidP="00FD4592">
            <w:pPr>
              <w:pStyle w:val="ListParagraph"/>
              <w:numPr>
                <w:ilvl w:val="0"/>
                <w:numId w:val="18"/>
              </w:numPr>
              <w:rPr>
                <w:rFonts w:ascii="Arial" w:hAnsi="Arial" w:cs="Arial"/>
                <w:sz w:val="20"/>
                <w:szCs w:val="20"/>
              </w:rPr>
            </w:pPr>
            <w:r w:rsidRPr="004443ED">
              <w:rPr>
                <w:rFonts w:ascii="Arial" w:hAnsi="Arial" w:cs="Arial"/>
                <w:sz w:val="20"/>
                <w:szCs w:val="20"/>
              </w:rPr>
              <w:t>Capacity of the company and/or key individuals who will be working on the project</w:t>
            </w:r>
          </w:p>
          <w:p w14:paraId="19CE1490" w14:textId="77777777" w:rsidR="00FD4592" w:rsidRPr="004443ED" w:rsidRDefault="00FD4592" w:rsidP="00FD4592">
            <w:pPr>
              <w:pStyle w:val="ListParagraph"/>
              <w:numPr>
                <w:ilvl w:val="0"/>
                <w:numId w:val="18"/>
              </w:numPr>
              <w:rPr>
                <w:rFonts w:ascii="Arial" w:hAnsi="Arial" w:cs="Arial"/>
                <w:sz w:val="20"/>
                <w:szCs w:val="20"/>
              </w:rPr>
            </w:pPr>
            <w:r w:rsidRPr="004443ED">
              <w:rPr>
                <w:rFonts w:ascii="Arial" w:hAnsi="Arial" w:cs="Arial"/>
                <w:sz w:val="20"/>
                <w:szCs w:val="20"/>
              </w:rPr>
              <w:t xml:space="preserve">Previous relevant research projects executed, by the company (if relevant) and by the key individuals working on the project </w:t>
            </w:r>
          </w:p>
          <w:p w14:paraId="11F79FB9" w14:textId="77777777" w:rsidR="00FD4592" w:rsidRPr="004443ED" w:rsidRDefault="00FD4592" w:rsidP="00FD4592">
            <w:pPr>
              <w:pStyle w:val="ListParagraph"/>
              <w:numPr>
                <w:ilvl w:val="0"/>
                <w:numId w:val="18"/>
              </w:numPr>
              <w:rPr>
                <w:rFonts w:ascii="Arial" w:hAnsi="Arial" w:cs="Arial"/>
                <w:sz w:val="20"/>
                <w:szCs w:val="20"/>
              </w:rPr>
            </w:pPr>
            <w:r w:rsidRPr="004443ED">
              <w:rPr>
                <w:rFonts w:ascii="Arial" w:hAnsi="Arial" w:cs="Arial"/>
                <w:sz w:val="20"/>
                <w:szCs w:val="20"/>
              </w:rPr>
              <w:t xml:space="preserve">Relevant sector experience and experience working with NGOs </w:t>
            </w:r>
          </w:p>
        </w:tc>
      </w:tr>
      <w:tr w:rsidR="00FD4592" w:rsidRPr="004443ED" w14:paraId="048DFCD9" w14:textId="77777777" w:rsidTr="00350220">
        <w:tc>
          <w:tcPr>
            <w:tcW w:w="3539" w:type="dxa"/>
          </w:tcPr>
          <w:p w14:paraId="06457765" w14:textId="77777777" w:rsidR="00FD4592" w:rsidRPr="004443ED" w:rsidRDefault="00FD4592" w:rsidP="00350220">
            <w:pPr>
              <w:rPr>
                <w:rFonts w:ascii="Arial" w:hAnsi="Arial" w:cs="Arial"/>
                <w:b/>
                <w:sz w:val="20"/>
                <w:szCs w:val="20"/>
              </w:rPr>
            </w:pPr>
            <w:r w:rsidRPr="004443ED">
              <w:rPr>
                <w:rFonts w:ascii="Arial" w:hAnsi="Arial" w:cs="Arial"/>
                <w:b/>
                <w:sz w:val="20"/>
                <w:szCs w:val="20"/>
              </w:rPr>
              <w:t>Proposed services (40%)</w:t>
            </w:r>
          </w:p>
          <w:p w14:paraId="32021C7C" w14:textId="77777777" w:rsidR="00FD4592" w:rsidRPr="004443ED" w:rsidRDefault="00FD4592" w:rsidP="00350220">
            <w:pPr>
              <w:rPr>
                <w:rFonts w:ascii="Arial" w:hAnsi="Arial" w:cs="Arial"/>
                <w:b/>
                <w:sz w:val="20"/>
                <w:szCs w:val="20"/>
              </w:rPr>
            </w:pPr>
          </w:p>
          <w:p w14:paraId="160B7CC5" w14:textId="77777777" w:rsidR="00FD4592" w:rsidRPr="004443ED" w:rsidRDefault="00FD4592" w:rsidP="00350220">
            <w:pPr>
              <w:rPr>
                <w:rFonts w:ascii="Arial" w:hAnsi="Arial" w:cs="Arial"/>
                <w:sz w:val="20"/>
                <w:szCs w:val="20"/>
              </w:rPr>
            </w:pPr>
            <w:r w:rsidRPr="004443ED">
              <w:rPr>
                <w:rFonts w:ascii="Arial" w:hAnsi="Arial" w:cs="Arial"/>
                <w:sz w:val="20"/>
                <w:szCs w:val="20"/>
              </w:rPr>
              <w:t>(Documented in the technical proposal)</w:t>
            </w:r>
          </w:p>
        </w:tc>
        <w:tc>
          <w:tcPr>
            <w:tcW w:w="5476" w:type="dxa"/>
          </w:tcPr>
          <w:p w14:paraId="51BE3C20" w14:textId="19F2B25B" w:rsidR="00FD4592" w:rsidRPr="004443ED" w:rsidRDefault="00FD4592" w:rsidP="00FD4592">
            <w:pPr>
              <w:pStyle w:val="ListParagraph"/>
              <w:numPr>
                <w:ilvl w:val="0"/>
                <w:numId w:val="18"/>
              </w:numPr>
              <w:rPr>
                <w:rFonts w:ascii="Arial" w:hAnsi="Arial" w:cs="Arial"/>
                <w:sz w:val="20"/>
                <w:szCs w:val="20"/>
              </w:rPr>
            </w:pPr>
            <w:r w:rsidRPr="004443ED">
              <w:rPr>
                <w:rFonts w:ascii="Arial" w:hAnsi="Arial" w:cs="Arial"/>
                <w:sz w:val="20"/>
                <w:szCs w:val="20"/>
              </w:rPr>
              <w:t xml:space="preserve">Understanding </w:t>
            </w:r>
            <w:r w:rsidR="000A44F7">
              <w:rPr>
                <w:rFonts w:ascii="Arial" w:hAnsi="Arial" w:cs="Arial"/>
                <w:sz w:val="20"/>
                <w:szCs w:val="20"/>
              </w:rPr>
              <w:t xml:space="preserve">aims and objectives of the </w:t>
            </w:r>
            <w:r w:rsidRPr="004443ED">
              <w:rPr>
                <w:rFonts w:ascii="Arial" w:hAnsi="Arial" w:cs="Arial"/>
                <w:sz w:val="20"/>
                <w:szCs w:val="20"/>
              </w:rPr>
              <w:t xml:space="preserve">research </w:t>
            </w:r>
          </w:p>
          <w:p w14:paraId="0A157810" w14:textId="4135F32A" w:rsidR="00FD4592" w:rsidRPr="004443ED" w:rsidRDefault="00FD4592" w:rsidP="00FD4592">
            <w:pPr>
              <w:pStyle w:val="ListParagraph"/>
              <w:numPr>
                <w:ilvl w:val="0"/>
                <w:numId w:val="18"/>
              </w:numPr>
              <w:rPr>
                <w:rFonts w:ascii="Arial" w:hAnsi="Arial" w:cs="Arial"/>
                <w:sz w:val="20"/>
                <w:szCs w:val="20"/>
              </w:rPr>
            </w:pPr>
            <w:r w:rsidRPr="004443ED">
              <w:rPr>
                <w:rFonts w:ascii="Arial" w:hAnsi="Arial" w:cs="Arial"/>
                <w:sz w:val="20"/>
                <w:szCs w:val="20"/>
              </w:rPr>
              <w:t>Understanding of the</w:t>
            </w:r>
            <w:r w:rsidR="000A44F7">
              <w:rPr>
                <w:rFonts w:ascii="Arial" w:hAnsi="Arial" w:cs="Arial"/>
                <w:sz w:val="20"/>
                <w:szCs w:val="20"/>
              </w:rPr>
              <w:t xml:space="preserve"> context of the target locations </w:t>
            </w:r>
          </w:p>
          <w:p w14:paraId="74ABA885" w14:textId="4C8EDD99" w:rsidR="00FD4592" w:rsidRPr="004443ED" w:rsidRDefault="00FD4592" w:rsidP="00FD4592">
            <w:pPr>
              <w:pStyle w:val="ListParagraph"/>
              <w:numPr>
                <w:ilvl w:val="0"/>
                <w:numId w:val="18"/>
              </w:numPr>
              <w:rPr>
                <w:rFonts w:ascii="Arial" w:hAnsi="Arial" w:cs="Arial"/>
                <w:sz w:val="20"/>
                <w:szCs w:val="20"/>
              </w:rPr>
            </w:pPr>
            <w:r w:rsidRPr="004443ED">
              <w:rPr>
                <w:rFonts w:ascii="Arial" w:hAnsi="Arial" w:cs="Arial"/>
                <w:sz w:val="20"/>
                <w:szCs w:val="20"/>
              </w:rPr>
              <w:t xml:space="preserve">Detailed discussion of the research questions and </w:t>
            </w:r>
            <w:r w:rsidR="000A44F7">
              <w:rPr>
                <w:rFonts w:ascii="Arial" w:hAnsi="Arial" w:cs="Arial"/>
                <w:sz w:val="20"/>
                <w:szCs w:val="20"/>
              </w:rPr>
              <w:t>deliverables</w:t>
            </w:r>
            <w:r w:rsidRPr="004443ED">
              <w:rPr>
                <w:rFonts w:ascii="Arial" w:hAnsi="Arial" w:cs="Arial"/>
                <w:sz w:val="20"/>
                <w:szCs w:val="20"/>
              </w:rPr>
              <w:t xml:space="preserve"> indicating a thorough understanding of the problem statement </w:t>
            </w:r>
          </w:p>
          <w:p w14:paraId="3A7338E8" w14:textId="77777777" w:rsidR="00FD4592" w:rsidRDefault="00FD4592" w:rsidP="00FD4592">
            <w:pPr>
              <w:pStyle w:val="ListParagraph"/>
              <w:numPr>
                <w:ilvl w:val="0"/>
                <w:numId w:val="18"/>
              </w:numPr>
              <w:rPr>
                <w:rFonts w:ascii="Arial" w:hAnsi="Arial" w:cs="Arial"/>
                <w:sz w:val="20"/>
                <w:szCs w:val="20"/>
              </w:rPr>
            </w:pPr>
            <w:r w:rsidRPr="004443ED">
              <w:rPr>
                <w:rFonts w:ascii="Arial" w:hAnsi="Arial" w:cs="Arial"/>
                <w:sz w:val="20"/>
                <w:szCs w:val="20"/>
              </w:rPr>
              <w:t>Outline for proposed methodology for research and data collection</w:t>
            </w:r>
          </w:p>
          <w:p w14:paraId="786CE4AF" w14:textId="78F7E6DC" w:rsidR="00601A9E" w:rsidRPr="004443ED" w:rsidRDefault="00601A9E" w:rsidP="00FD4592">
            <w:pPr>
              <w:pStyle w:val="ListParagraph"/>
              <w:numPr>
                <w:ilvl w:val="0"/>
                <w:numId w:val="18"/>
              </w:numPr>
              <w:rPr>
                <w:rFonts w:ascii="Arial" w:hAnsi="Arial" w:cs="Arial"/>
                <w:sz w:val="20"/>
                <w:szCs w:val="20"/>
              </w:rPr>
            </w:pPr>
            <w:r>
              <w:rPr>
                <w:rFonts w:ascii="Arial" w:hAnsi="Arial" w:cs="Arial"/>
                <w:sz w:val="20"/>
                <w:szCs w:val="20"/>
              </w:rPr>
              <w:t>Acceptable timeframe for delivery</w:t>
            </w:r>
          </w:p>
        </w:tc>
      </w:tr>
      <w:tr w:rsidR="00FD4592" w:rsidRPr="004443ED" w14:paraId="1BA3948E" w14:textId="77777777" w:rsidTr="00350220">
        <w:tc>
          <w:tcPr>
            <w:tcW w:w="3539" w:type="dxa"/>
          </w:tcPr>
          <w:p w14:paraId="5629BA44" w14:textId="77777777" w:rsidR="00FD4592" w:rsidRPr="004443ED" w:rsidRDefault="00FD4592" w:rsidP="00350220">
            <w:pPr>
              <w:rPr>
                <w:rFonts w:ascii="Arial" w:hAnsi="Arial" w:cs="Arial"/>
                <w:b/>
                <w:sz w:val="20"/>
                <w:szCs w:val="20"/>
              </w:rPr>
            </w:pPr>
            <w:r w:rsidRPr="004443ED">
              <w:rPr>
                <w:rFonts w:ascii="Arial" w:hAnsi="Arial" w:cs="Arial"/>
                <w:b/>
                <w:sz w:val="20"/>
                <w:szCs w:val="20"/>
              </w:rPr>
              <w:t>Interview (20%)</w:t>
            </w:r>
          </w:p>
        </w:tc>
        <w:tc>
          <w:tcPr>
            <w:tcW w:w="5476" w:type="dxa"/>
          </w:tcPr>
          <w:p w14:paraId="19DBADB4" w14:textId="77777777" w:rsidR="00FD4592" w:rsidRPr="004443ED" w:rsidRDefault="00FD4592" w:rsidP="00350220">
            <w:pPr>
              <w:rPr>
                <w:rFonts w:ascii="Arial" w:hAnsi="Arial" w:cs="Arial"/>
                <w:b/>
                <w:sz w:val="20"/>
                <w:szCs w:val="20"/>
              </w:rPr>
            </w:pPr>
          </w:p>
        </w:tc>
      </w:tr>
      <w:tr w:rsidR="00FD4592" w:rsidRPr="004443ED" w14:paraId="655BB0C0" w14:textId="77777777" w:rsidTr="00350220">
        <w:tc>
          <w:tcPr>
            <w:tcW w:w="3539" w:type="dxa"/>
          </w:tcPr>
          <w:p w14:paraId="6D86CDF8" w14:textId="77777777" w:rsidR="00FD4592" w:rsidRPr="004443ED" w:rsidRDefault="00FD4592" w:rsidP="00350220">
            <w:pPr>
              <w:rPr>
                <w:rFonts w:ascii="Arial" w:hAnsi="Arial" w:cs="Arial"/>
                <w:b/>
                <w:sz w:val="20"/>
                <w:szCs w:val="20"/>
              </w:rPr>
            </w:pPr>
            <w:r w:rsidRPr="004443ED">
              <w:rPr>
                <w:rFonts w:ascii="Arial" w:hAnsi="Arial" w:cs="Arial"/>
                <w:b/>
                <w:sz w:val="20"/>
                <w:szCs w:val="20"/>
              </w:rPr>
              <w:t>Total</w:t>
            </w:r>
          </w:p>
        </w:tc>
        <w:tc>
          <w:tcPr>
            <w:tcW w:w="5476" w:type="dxa"/>
          </w:tcPr>
          <w:p w14:paraId="6798A0BF" w14:textId="77777777" w:rsidR="00FD4592" w:rsidRPr="004443ED" w:rsidRDefault="00FD4592" w:rsidP="00350220">
            <w:pPr>
              <w:rPr>
                <w:rFonts w:ascii="Arial" w:hAnsi="Arial" w:cs="Arial"/>
                <w:b/>
                <w:sz w:val="20"/>
                <w:szCs w:val="20"/>
              </w:rPr>
            </w:pPr>
            <w:r w:rsidRPr="004443ED">
              <w:rPr>
                <w:rFonts w:ascii="Arial" w:hAnsi="Arial" w:cs="Arial"/>
                <w:b/>
                <w:sz w:val="20"/>
                <w:szCs w:val="20"/>
              </w:rPr>
              <w:t>100%</w:t>
            </w:r>
          </w:p>
        </w:tc>
      </w:tr>
    </w:tbl>
    <w:p w14:paraId="00A22DA5" w14:textId="2F78A076" w:rsidR="00FD4592" w:rsidRDefault="00FD4592" w:rsidP="00FD4592">
      <w:pPr>
        <w:ind w:right="52"/>
        <w:jc w:val="both"/>
        <w:rPr>
          <w:rFonts w:ascii="Arial" w:hAnsi="Arial" w:cs="Arial"/>
        </w:rPr>
      </w:pPr>
    </w:p>
    <w:p w14:paraId="30A400AB" w14:textId="77777777" w:rsidR="00FD4592" w:rsidRPr="004443ED" w:rsidRDefault="00FD4592" w:rsidP="00FD4592">
      <w:pPr>
        <w:spacing w:beforeLines="80" w:before="192" w:afterLines="80" w:after="192"/>
        <w:jc w:val="both"/>
        <w:rPr>
          <w:rFonts w:ascii="Arial" w:eastAsia="Times New Roman" w:hAnsi="Arial" w:cs="Arial"/>
          <w:lang w:val="en-US"/>
        </w:rPr>
      </w:pPr>
      <w:r w:rsidRPr="004443ED">
        <w:rPr>
          <w:rFonts w:ascii="Arial" w:eastAsia="Times New Roman" w:hAnsi="Arial" w:cs="Arial"/>
          <w:lang w:val="en-US"/>
        </w:rPr>
        <w:t xml:space="preserve">All bidders must obtain an average score of at least 5 for the total technical scoring, in order to proceed to the financial evaluation. </w:t>
      </w:r>
    </w:p>
    <w:p w14:paraId="1EBA7A1D" w14:textId="77777777" w:rsidR="00FD4592" w:rsidRPr="004443ED" w:rsidRDefault="00FD4592" w:rsidP="00FD4592">
      <w:pPr>
        <w:spacing w:beforeLines="80" w:before="192" w:afterLines="80" w:after="192"/>
        <w:jc w:val="both"/>
        <w:rPr>
          <w:rFonts w:ascii="Arial" w:eastAsia="Times New Roman" w:hAnsi="Arial" w:cs="Arial"/>
          <w:lang w:val="en-US"/>
        </w:rPr>
      </w:pPr>
      <w:r w:rsidRPr="004443ED">
        <w:rPr>
          <w:rFonts w:ascii="Arial" w:eastAsia="Times New Roman" w:hAnsi="Arial" w:cs="Arial"/>
          <w:lang w:val="en-US"/>
        </w:rPr>
        <w:t xml:space="preserve">The financial offer will then be weighed against the technical offer. </w:t>
      </w:r>
    </w:p>
    <w:p w14:paraId="72EB63C7" w14:textId="77777777" w:rsidR="00FD4592" w:rsidRPr="004443ED" w:rsidRDefault="00FD4592" w:rsidP="00FD4592">
      <w:pPr>
        <w:spacing w:beforeLines="80" w:before="192" w:afterLines="80" w:after="192"/>
        <w:jc w:val="both"/>
        <w:rPr>
          <w:rFonts w:ascii="Arial" w:eastAsia="Times New Roman" w:hAnsi="Arial" w:cs="Arial"/>
          <w:lang w:val="en-US"/>
        </w:rPr>
      </w:pPr>
      <w:r w:rsidRPr="004443ED">
        <w:rPr>
          <w:rFonts w:ascii="Arial" w:eastAsia="Times New Roman" w:hAnsi="Arial" w:cs="Arial"/>
          <w:lang w:val="en-US"/>
        </w:rPr>
        <w:t xml:space="preserve">The total cost of the financial offer should be mentioned in the DRC Bid Form, while the breakdown of the budget should be attached separately. </w:t>
      </w:r>
    </w:p>
    <w:p w14:paraId="4B5FC0CE" w14:textId="77777777" w:rsidR="00FD4592" w:rsidRPr="004443ED" w:rsidRDefault="00FD4592" w:rsidP="00FD4592">
      <w:pPr>
        <w:pStyle w:val="ListParagraph"/>
        <w:spacing w:beforeLines="80" w:before="192" w:afterLines="80" w:after="192"/>
        <w:jc w:val="both"/>
        <w:rPr>
          <w:rFonts w:ascii="Arial" w:eastAsia="Times New Roman" w:hAnsi="Arial" w:cs="Arial"/>
          <w:lang w:val="en-US"/>
        </w:rPr>
      </w:pPr>
    </w:p>
    <w:p w14:paraId="33746DE3" w14:textId="77777777" w:rsidR="00FD4592" w:rsidRPr="004443ED" w:rsidRDefault="00FD4592" w:rsidP="00FD4592">
      <w:pPr>
        <w:pStyle w:val="ListParagraph"/>
        <w:numPr>
          <w:ilvl w:val="0"/>
          <w:numId w:val="20"/>
        </w:numPr>
        <w:spacing w:beforeLines="80" w:before="192" w:afterLines="80" w:after="192"/>
        <w:jc w:val="both"/>
        <w:rPr>
          <w:rFonts w:ascii="Arial" w:hAnsi="Arial" w:cs="Arial"/>
          <w:b/>
        </w:rPr>
      </w:pPr>
      <w:r w:rsidRPr="004443ED">
        <w:rPr>
          <w:rFonts w:ascii="Arial" w:hAnsi="Arial" w:cs="Arial"/>
          <w:b/>
        </w:rPr>
        <w:t xml:space="preserve">Confidentiality </w:t>
      </w:r>
    </w:p>
    <w:p w14:paraId="14A86925" w14:textId="77777777" w:rsidR="00FD4592" w:rsidRPr="004443ED" w:rsidRDefault="00FD4592" w:rsidP="00FD4592">
      <w:pPr>
        <w:spacing w:beforeLines="80" w:before="192" w:afterLines="80" w:after="192"/>
        <w:jc w:val="both"/>
        <w:rPr>
          <w:rFonts w:ascii="Arial" w:eastAsia="Times New Roman" w:hAnsi="Arial" w:cs="Arial"/>
          <w:lang w:val="en-US"/>
        </w:rPr>
      </w:pPr>
      <w:r w:rsidRPr="004443ED">
        <w:rPr>
          <w:rFonts w:ascii="Arial" w:eastAsia="Times New Roman" w:hAnsi="Arial" w:cs="Arial"/>
          <w:lang w:val="en-US"/>
        </w:rPr>
        <w:t xml:space="preserve">All information presented, obtained and produced is to be treated as DRC’s property and is considered as confidential for all other purposes than what is outlined in the ToR. </w:t>
      </w:r>
    </w:p>
    <w:p w14:paraId="1BD67574" w14:textId="77777777" w:rsidR="00FD4592" w:rsidRPr="004443ED" w:rsidRDefault="00FD4592" w:rsidP="00FD4592">
      <w:pPr>
        <w:spacing w:beforeLines="80" w:before="192" w:afterLines="80" w:after="192"/>
        <w:jc w:val="both"/>
        <w:rPr>
          <w:rFonts w:ascii="Arial" w:eastAsia="Times New Roman" w:hAnsi="Arial" w:cs="Arial"/>
          <w:lang w:val="en-US"/>
        </w:rPr>
      </w:pPr>
      <w:r w:rsidRPr="004443ED">
        <w:rPr>
          <w:rFonts w:ascii="Arial" w:eastAsia="Times New Roman" w:hAnsi="Arial" w:cs="Arial"/>
          <w:lang w:val="en-US"/>
        </w:rPr>
        <w:t>The selected consultant is upon signing of the contract required to sign a confidentiality agreement. The material prepared by the consultant cannot be sold, used or reproduced in any manner (partially or in full) by the consultant without prior permission from DRC.</w:t>
      </w:r>
    </w:p>
    <w:p w14:paraId="0D64A1C9" w14:textId="77777777" w:rsidR="00FD4592" w:rsidRPr="004443ED" w:rsidRDefault="00FD4592" w:rsidP="00FD4592">
      <w:pPr>
        <w:pStyle w:val="ListParagraph"/>
        <w:numPr>
          <w:ilvl w:val="0"/>
          <w:numId w:val="20"/>
        </w:numPr>
        <w:spacing w:beforeLines="80" w:before="192" w:afterLines="80" w:after="192"/>
        <w:jc w:val="both"/>
        <w:rPr>
          <w:rFonts w:ascii="Arial" w:hAnsi="Arial" w:cs="Arial"/>
          <w:b/>
        </w:rPr>
      </w:pPr>
      <w:r w:rsidRPr="004443ED">
        <w:rPr>
          <w:rFonts w:ascii="Arial" w:hAnsi="Arial" w:cs="Arial"/>
          <w:b/>
        </w:rPr>
        <w:t>Contact point</w:t>
      </w:r>
    </w:p>
    <w:p w14:paraId="689F49CC" w14:textId="085DF812" w:rsidR="00FD4592" w:rsidRPr="004443ED" w:rsidRDefault="00FD4592" w:rsidP="00FD4592">
      <w:pPr>
        <w:spacing w:beforeLines="80" w:before="192" w:afterLines="80" w:after="192"/>
        <w:jc w:val="both"/>
        <w:rPr>
          <w:rFonts w:ascii="Arial" w:eastAsia="Times New Roman" w:hAnsi="Arial" w:cs="Arial"/>
          <w:lang w:val="en-US"/>
        </w:rPr>
      </w:pPr>
      <w:r w:rsidRPr="004443ED">
        <w:rPr>
          <w:rFonts w:ascii="Arial" w:eastAsia="Times New Roman" w:hAnsi="Arial" w:cs="Arial"/>
          <w:lang w:val="en-US"/>
        </w:rPr>
        <w:t xml:space="preserve">The consultant’s primary focal point will be </w:t>
      </w:r>
      <w:r>
        <w:rPr>
          <w:rFonts w:ascii="Arial" w:eastAsia="Times New Roman" w:hAnsi="Arial" w:cs="Arial"/>
          <w:lang w:val="en-US"/>
        </w:rPr>
        <w:t xml:space="preserve">Anna Stein – </w:t>
      </w:r>
      <w:hyperlink r:id="rId8" w:history="1">
        <w:r w:rsidRPr="0054163C">
          <w:rPr>
            <w:rStyle w:val="Hyperlink"/>
            <w:rFonts w:ascii="Arial" w:eastAsia="Times New Roman" w:hAnsi="Arial" w:cs="Arial"/>
            <w:lang w:val="en-US"/>
          </w:rPr>
          <w:t>anna.stein@drc.ngo</w:t>
        </w:r>
      </w:hyperlink>
      <w:r>
        <w:rPr>
          <w:rFonts w:ascii="Arial" w:eastAsia="Times New Roman" w:hAnsi="Arial" w:cs="Arial"/>
          <w:lang w:val="en-US"/>
        </w:rPr>
        <w:t xml:space="preserve"> </w:t>
      </w:r>
      <w:r w:rsidRPr="004443ED">
        <w:rPr>
          <w:rFonts w:ascii="Arial" w:eastAsia="Times New Roman" w:hAnsi="Arial" w:cs="Arial"/>
          <w:lang w:val="en-US"/>
        </w:rPr>
        <w:t xml:space="preserve">  </w:t>
      </w:r>
    </w:p>
    <w:p w14:paraId="41B0A483" w14:textId="77777777" w:rsidR="00FD4592" w:rsidRPr="00FD4592" w:rsidRDefault="00FD4592" w:rsidP="00FD4592">
      <w:pPr>
        <w:ind w:right="52"/>
        <w:jc w:val="both"/>
        <w:rPr>
          <w:rFonts w:ascii="Arial" w:hAnsi="Arial" w:cs="Arial"/>
        </w:rPr>
      </w:pPr>
    </w:p>
    <w:sectPr w:rsidR="00FD4592" w:rsidRPr="00FD4592" w:rsidSect="00B90654">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D4B75" w14:textId="77777777" w:rsidR="00164783" w:rsidRDefault="00164783" w:rsidP="00FB3753">
      <w:r>
        <w:separator/>
      </w:r>
    </w:p>
  </w:endnote>
  <w:endnote w:type="continuationSeparator" w:id="0">
    <w:p w14:paraId="2AEE0243" w14:textId="77777777" w:rsidR="00164783" w:rsidRDefault="00164783" w:rsidP="00FB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Calibri"/>
    <w:charset w:val="00"/>
    <w:family w:val="swiss"/>
    <w:pitch w:val="variable"/>
    <w:sig w:usb0="E00002EF" w:usb1="4000205B" w:usb2="00000028"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6C5DF" w14:textId="77777777" w:rsidR="00164783" w:rsidRDefault="00164783" w:rsidP="00FB3753">
      <w:r>
        <w:separator/>
      </w:r>
    </w:p>
  </w:footnote>
  <w:footnote w:type="continuationSeparator" w:id="0">
    <w:p w14:paraId="4B65109E" w14:textId="77777777" w:rsidR="00164783" w:rsidRDefault="00164783" w:rsidP="00FB37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79F"/>
    <w:multiLevelType w:val="hybridMultilevel"/>
    <w:tmpl w:val="88F6C01C"/>
    <w:lvl w:ilvl="0" w:tplc="52B0A8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41AF"/>
    <w:multiLevelType w:val="hybridMultilevel"/>
    <w:tmpl w:val="FFDC5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02F8B"/>
    <w:multiLevelType w:val="hybridMultilevel"/>
    <w:tmpl w:val="DEF0596C"/>
    <w:lvl w:ilvl="0" w:tplc="1568BCEA">
      <w:start w:val="2017"/>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E150E"/>
    <w:multiLevelType w:val="hybridMultilevel"/>
    <w:tmpl w:val="CFEE5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82E99"/>
    <w:multiLevelType w:val="hybridMultilevel"/>
    <w:tmpl w:val="572CB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E3C0D"/>
    <w:multiLevelType w:val="hybridMultilevel"/>
    <w:tmpl w:val="66FC3FCA"/>
    <w:lvl w:ilvl="0" w:tplc="E42061FC">
      <w:start w:val="8"/>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473F0"/>
    <w:multiLevelType w:val="hybridMultilevel"/>
    <w:tmpl w:val="A858CB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CFD"/>
    <w:multiLevelType w:val="hybridMultilevel"/>
    <w:tmpl w:val="172E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D23D3"/>
    <w:multiLevelType w:val="hybridMultilevel"/>
    <w:tmpl w:val="ADB6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77D11"/>
    <w:multiLevelType w:val="hybridMultilevel"/>
    <w:tmpl w:val="E14CBE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4344A"/>
    <w:multiLevelType w:val="hybridMultilevel"/>
    <w:tmpl w:val="F57AF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B13DC"/>
    <w:multiLevelType w:val="hybridMultilevel"/>
    <w:tmpl w:val="25DE2C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32A66"/>
    <w:multiLevelType w:val="hybridMultilevel"/>
    <w:tmpl w:val="48D0A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05105"/>
    <w:multiLevelType w:val="hybridMultilevel"/>
    <w:tmpl w:val="0B006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B02F4"/>
    <w:multiLevelType w:val="hybridMultilevel"/>
    <w:tmpl w:val="06F09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54844"/>
    <w:multiLevelType w:val="hybridMultilevel"/>
    <w:tmpl w:val="B7F82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07694"/>
    <w:multiLevelType w:val="hybridMultilevel"/>
    <w:tmpl w:val="CA1ADBCC"/>
    <w:lvl w:ilvl="0" w:tplc="6B7015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64621"/>
    <w:multiLevelType w:val="hybridMultilevel"/>
    <w:tmpl w:val="5A4A3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7927FD"/>
    <w:multiLevelType w:val="hybridMultilevel"/>
    <w:tmpl w:val="D3889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124EF"/>
    <w:multiLevelType w:val="hybridMultilevel"/>
    <w:tmpl w:val="3C56265C"/>
    <w:lvl w:ilvl="0" w:tplc="7862ACD6">
      <w:start w:val="1"/>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6"/>
  </w:num>
  <w:num w:numId="5">
    <w:abstractNumId w:val="11"/>
  </w:num>
  <w:num w:numId="6">
    <w:abstractNumId w:val="10"/>
  </w:num>
  <w:num w:numId="7">
    <w:abstractNumId w:val="19"/>
  </w:num>
  <w:num w:numId="8">
    <w:abstractNumId w:val="1"/>
  </w:num>
  <w:num w:numId="9">
    <w:abstractNumId w:val="9"/>
  </w:num>
  <w:num w:numId="10">
    <w:abstractNumId w:val="18"/>
  </w:num>
  <w:num w:numId="11">
    <w:abstractNumId w:val="4"/>
  </w:num>
  <w:num w:numId="12">
    <w:abstractNumId w:val="3"/>
  </w:num>
  <w:num w:numId="13">
    <w:abstractNumId w:val="16"/>
  </w:num>
  <w:num w:numId="14">
    <w:abstractNumId w:val="15"/>
  </w:num>
  <w:num w:numId="15">
    <w:abstractNumId w:val="0"/>
  </w:num>
  <w:num w:numId="16">
    <w:abstractNumId w:val="7"/>
  </w:num>
  <w:num w:numId="17">
    <w:abstractNumId w:val="5"/>
  </w:num>
  <w:num w:numId="18">
    <w:abstractNumId w:val="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C6"/>
    <w:rsid w:val="000104FF"/>
    <w:rsid w:val="0003672E"/>
    <w:rsid w:val="000451D5"/>
    <w:rsid w:val="00063D84"/>
    <w:rsid w:val="0006524B"/>
    <w:rsid w:val="000841C6"/>
    <w:rsid w:val="000A44F7"/>
    <w:rsid w:val="001041E0"/>
    <w:rsid w:val="00114169"/>
    <w:rsid w:val="00143F8E"/>
    <w:rsid w:val="00164783"/>
    <w:rsid w:val="001679F1"/>
    <w:rsid w:val="00176ED5"/>
    <w:rsid w:val="001939B5"/>
    <w:rsid w:val="00196FB6"/>
    <w:rsid w:val="001C4F98"/>
    <w:rsid w:val="00213574"/>
    <w:rsid w:val="002445D2"/>
    <w:rsid w:val="0029412D"/>
    <w:rsid w:val="0029786E"/>
    <w:rsid w:val="002A6ABD"/>
    <w:rsid w:val="002B48B2"/>
    <w:rsid w:val="002C4BBF"/>
    <w:rsid w:val="003525E3"/>
    <w:rsid w:val="003642E6"/>
    <w:rsid w:val="00366CEF"/>
    <w:rsid w:val="00372389"/>
    <w:rsid w:val="00373F0C"/>
    <w:rsid w:val="003872BD"/>
    <w:rsid w:val="00390FDF"/>
    <w:rsid w:val="00392C09"/>
    <w:rsid w:val="003B3B29"/>
    <w:rsid w:val="003C6AB6"/>
    <w:rsid w:val="003F4510"/>
    <w:rsid w:val="00405843"/>
    <w:rsid w:val="0043146E"/>
    <w:rsid w:val="00433A6A"/>
    <w:rsid w:val="00451D4E"/>
    <w:rsid w:val="00452663"/>
    <w:rsid w:val="00475BAE"/>
    <w:rsid w:val="0049146C"/>
    <w:rsid w:val="004B7C7F"/>
    <w:rsid w:val="004D4512"/>
    <w:rsid w:val="00512CD2"/>
    <w:rsid w:val="005139D4"/>
    <w:rsid w:val="00547D50"/>
    <w:rsid w:val="00556295"/>
    <w:rsid w:val="00585DD6"/>
    <w:rsid w:val="005C009D"/>
    <w:rsid w:val="005E6123"/>
    <w:rsid w:val="00601A9E"/>
    <w:rsid w:val="0061414A"/>
    <w:rsid w:val="006257C4"/>
    <w:rsid w:val="00650127"/>
    <w:rsid w:val="0066755C"/>
    <w:rsid w:val="00673406"/>
    <w:rsid w:val="006976DA"/>
    <w:rsid w:val="006A504F"/>
    <w:rsid w:val="006B1F3B"/>
    <w:rsid w:val="006E09B9"/>
    <w:rsid w:val="006E467B"/>
    <w:rsid w:val="00714562"/>
    <w:rsid w:val="00736F54"/>
    <w:rsid w:val="00745C39"/>
    <w:rsid w:val="0078060E"/>
    <w:rsid w:val="007814F0"/>
    <w:rsid w:val="007D4224"/>
    <w:rsid w:val="007E6BA0"/>
    <w:rsid w:val="007F5A74"/>
    <w:rsid w:val="0085337D"/>
    <w:rsid w:val="00873798"/>
    <w:rsid w:val="008E47A9"/>
    <w:rsid w:val="009230A2"/>
    <w:rsid w:val="00960FE5"/>
    <w:rsid w:val="009746B7"/>
    <w:rsid w:val="009D747A"/>
    <w:rsid w:val="009E26DF"/>
    <w:rsid w:val="009F48F1"/>
    <w:rsid w:val="00A04815"/>
    <w:rsid w:val="00A065F6"/>
    <w:rsid w:val="00A1305D"/>
    <w:rsid w:val="00A1331A"/>
    <w:rsid w:val="00A31105"/>
    <w:rsid w:val="00A677E3"/>
    <w:rsid w:val="00AC04E0"/>
    <w:rsid w:val="00AC7EF0"/>
    <w:rsid w:val="00AF7000"/>
    <w:rsid w:val="00B03E65"/>
    <w:rsid w:val="00B11182"/>
    <w:rsid w:val="00B52B30"/>
    <w:rsid w:val="00B618D5"/>
    <w:rsid w:val="00B90654"/>
    <w:rsid w:val="00C04199"/>
    <w:rsid w:val="00C30A44"/>
    <w:rsid w:val="00C6233F"/>
    <w:rsid w:val="00C631C5"/>
    <w:rsid w:val="00C802BA"/>
    <w:rsid w:val="00CD3067"/>
    <w:rsid w:val="00CE4D8F"/>
    <w:rsid w:val="00CE6D2E"/>
    <w:rsid w:val="00D0185F"/>
    <w:rsid w:val="00D023C6"/>
    <w:rsid w:val="00D753E0"/>
    <w:rsid w:val="00DA43EF"/>
    <w:rsid w:val="00DB0984"/>
    <w:rsid w:val="00DC7B19"/>
    <w:rsid w:val="00DD1A63"/>
    <w:rsid w:val="00DE4AE6"/>
    <w:rsid w:val="00DE7405"/>
    <w:rsid w:val="00DF6754"/>
    <w:rsid w:val="00E03C81"/>
    <w:rsid w:val="00E118DA"/>
    <w:rsid w:val="00E11F6F"/>
    <w:rsid w:val="00E13BEC"/>
    <w:rsid w:val="00E31770"/>
    <w:rsid w:val="00E350EC"/>
    <w:rsid w:val="00E6075A"/>
    <w:rsid w:val="00E86A3A"/>
    <w:rsid w:val="00ED1949"/>
    <w:rsid w:val="00ED280F"/>
    <w:rsid w:val="00EE3E01"/>
    <w:rsid w:val="00EE6583"/>
    <w:rsid w:val="00F34C4F"/>
    <w:rsid w:val="00F46849"/>
    <w:rsid w:val="00F62871"/>
    <w:rsid w:val="00F6506D"/>
    <w:rsid w:val="00F6715C"/>
    <w:rsid w:val="00F70B57"/>
    <w:rsid w:val="00FB3753"/>
    <w:rsid w:val="00FB4280"/>
    <w:rsid w:val="00FD45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D3AE"/>
  <w14:defaultImageDpi w14:val="32767"/>
  <w15:chartTrackingRefBased/>
  <w15:docId w15:val="{298E6FE5-6C87-8A4A-B7D9-5D863DCE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HAnsi" w:hAnsi="Helvetica Neue"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List Paragraph (numbered (a)),Dot pt,F5 List Paragraph,List Paragraph Char Char Char,Indicator Text,Numbered Para 1,MAIN CONTENT,Colorful List - Accent 11,Bullet 1,References"/>
    <w:basedOn w:val="Normal"/>
    <w:link w:val="ListParagraphChar"/>
    <w:uiPriority w:val="34"/>
    <w:qFormat/>
    <w:rsid w:val="000841C6"/>
    <w:pPr>
      <w:ind w:left="720"/>
      <w:contextualSpacing/>
    </w:pPr>
  </w:style>
  <w:style w:type="paragraph" w:styleId="FootnoteText">
    <w:name w:val="footnote text"/>
    <w:basedOn w:val="Normal"/>
    <w:link w:val="FootnoteTextChar"/>
    <w:uiPriority w:val="99"/>
    <w:semiHidden/>
    <w:unhideWhenUsed/>
    <w:rsid w:val="00FB3753"/>
  </w:style>
  <w:style w:type="character" w:customStyle="1" w:styleId="FootnoteTextChar">
    <w:name w:val="Footnote Text Char"/>
    <w:basedOn w:val="DefaultParagraphFont"/>
    <w:link w:val="FootnoteText"/>
    <w:uiPriority w:val="99"/>
    <w:semiHidden/>
    <w:rsid w:val="00FB3753"/>
  </w:style>
  <w:style w:type="character" w:styleId="FootnoteReference">
    <w:name w:val="footnote reference"/>
    <w:basedOn w:val="DefaultParagraphFont"/>
    <w:uiPriority w:val="99"/>
    <w:semiHidden/>
    <w:unhideWhenUsed/>
    <w:rsid w:val="00FB3753"/>
    <w:rPr>
      <w:vertAlign w:val="superscript"/>
    </w:rPr>
  </w:style>
  <w:style w:type="paragraph" w:customStyle="1" w:styleId="Default">
    <w:name w:val="Default"/>
    <w:rsid w:val="00FB3753"/>
    <w:pPr>
      <w:autoSpaceDE w:val="0"/>
      <w:autoSpaceDN w:val="0"/>
      <w:adjustRightInd w:val="0"/>
    </w:pPr>
    <w:rPr>
      <w:rFonts w:ascii="Open Sans Light" w:hAnsi="Open Sans Light" w:cs="Open Sans Light"/>
      <w:color w:val="000000"/>
      <w:sz w:val="24"/>
      <w:szCs w:val="24"/>
      <w:lang w:val="en-US"/>
    </w:rPr>
  </w:style>
  <w:style w:type="character" w:customStyle="1" w:styleId="A1">
    <w:name w:val="A1"/>
    <w:uiPriority w:val="99"/>
    <w:rsid w:val="00FB3753"/>
    <w:rPr>
      <w:rFonts w:cs="Open Sans Light"/>
      <w:color w:val="000000"/>
      <w:sz w:val="20"/>
      <w:szCs w:val="20"/>
    </w:rPr>
  </w:style>
  <w:style w:type="character" w:customStyle="1" w:styleId="ListParagraphChar">
    <w:name w:val="List Paragraph Char"/>
    <w:aliases w:val="MCHIP_list paragraph Char,List Paragraph1 Char,Recommendation Char,List Paragraph (numbered (a)) Char,Dot pt Char,F5 List Paragraph Char,List Paragraph Char Char Char Char,Indicator Text Char,Numbered Para 1 Char,MAIN CONTENT Char"/>
    <w:basedOn w:val="DefaultParagraphFont"/>
    <w:link w:val="ListParagraph"/>
    <w:uiPriority w:val="34"/>
    <w:locked/>
    <w:rsid w:val="00FD4592"/>
  </w:style>
  <w:style w:type="table" w:styleId="TableGrid">
    <w:name w:val="Table Grid"/>
    <w:basedOn w:val="TableNormal"/>
    <w:uiPriority w:val="39"/>
    <w:rsid w:val="00FD4592"/>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D4592"/>
    <w:rPr>
      <w:color w:val="0000FF"/>
      <w:u w:val="single"/>
    </w:rPr>
  </w:style>
  <w:style w:type="character" w:customStyle="1" w:styleId="UnresolvedMention1">
    <w:name w:val="Unresolved Mention1"/>
    <w:basedOn w:val="DefaultParagraphFont"/>
    <w:uiPriority w:val="99"/>
    <w:rsid w:val="00FD4592"/>
    <w:rPr>
      <w:color w:val="605E5C"/>
      <w:shd w:val="clear" w:color="auto" w:fill="E1DFDD"/>
    </w:rPr>
  </w:style>
  <w:style w:type="paragraph" w:styleId="BalloonText">
    <w:name w:val="Balloon Text"/>
    <w:basedOn w:val="Normal"/>
    <w:link w:val="BalloonTextChar"/>
    <w:uiPriority w:val="99"/>
    <w:semiHidden/>
    <w:unhideWhenUsed/>
    <w:rsid w:val="00E35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EC"/>
    <w:rPr>
      <w:rFonts w:ascii="Segoe UI" w:hAnsi="Segoe UI" w:cs="Segoe UI"/>
      <w:sz w:val="18"/>
      <w:szCs w:val="18"/>
    </w:rPr>
  </w:style>
  <w:style w:type="character" w:styleId="CommentReference">
    <w:name w:val="annotation reference"/>
    <w:basedOn w:val="DefaultParagraphFont"/>
    <w:uiPriority w:val="99"/>
    <w:semiHidden/>
    <w:unhideWhenUsed/>
    <w:rsid w:val="00E350EC"/>
    <w:rPr>
      <w:sz w:val="16"/>
      <w:szCs w:val="16"/>
    </w:rPr>
  </w:style>
  <w:style w:type="paragraph" w:styleId="CommentText">
    <w:name w:val="annotation text"/>
    <w:basedOn w:val="Normal"/>
    <w:link w:val="CommentTextChar"/>
    <w:uiPriority w:val="99"/>
    <w:semiHidden/>
    <w:unhideWhenUsed/>
    <w:rsid w:val="00E350EC"/>
  </w:style>
  <w:style w:type="character" w:customStyle="1" w:styleId="CommentTextChar">
    <w:name w:val="Comment Text Char"/>
    <w:basedOn w:val="DefaultParagraphFont"/>
    <w:link w:val="CommentText"/>
    <w:uiPriority w:val="99"/>
    <w:semiHidden/>
    <w:rsid w:val="00E350EC"/>
  </w:style>
  <w:style w:type="paragraph" w:styleId="CommentSubject">
    <w:name w:val="annotation subject"/>
    <w:basedOn w:val="CommentText"/>
    <w:next w:val="CommentText"/>
    <w:link w:val="CommentSubjectChar"/>
    <w:uiPriority w:val="99"/>
    <w:semiHidden/>
    <w:unhideWhenUsed/>
    <w:rsid w:val="00E350EC"/>
    <w:rPr>
      <w:b/>
      <w:bCs/>
    </w:rPr>
  </w:style>
  <w:style w:type="character" w:customStyle="1" w:styleId="CommentSubjectChar">
    <w:name w:val="Comment Subject Char"/>
    <w:basedOn w:val="CommentTextChar"/>
    <w:link w:val="CommentSubject"/>
    <w:uiPriority w:val="99"/>
    <w:semiHidden/>
    <w:rsid w:val="00E3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tein@drc.ng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3E16-F16B-43E2-8D05-578A6132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Stein</dc:creator>
  <cp:keywords/>
  <dc:description/>
  <cp:lastModifiedBy>k.faqiri</cp:lastModifiedBy>
  <cp:revision>3</cp:revision>
  <cp:lastPrinted>2019-02-10T06:29:00Z</cp:lastPrinted>
  <dcterms:created xsi:type="dcterms:W3CDTF">2019-04-01T06:42:00Z</dcterms:created>
  <dcterms:modified xsi:type="dcterms:W3CDTF">2019-04-01T06:43:00Z</dcterms:modified>
</cp:coreProperties>
</file>