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5D4" w:rsidRDefault="00D205D4" w:rsidP="00D205D4">
      <w:pPr>
        <w:pStyle w:val="NormalWeb"/>
        <w:rPr>
          <w:rFonts w:ascii="Arial" w:hAnsi="Arial" w:cs="Arial"/>
          <w:color w:val="333333"/>
          <w:sz w:val="20"/>
          <w:szCs w:val="20"/>
        </w:rPr>
      </w:pPr>
      <w:r>
        <w:rPr>
          <w:rFonts w:ascii="Arial" w:hAnsi="Arial" w:cs="Arial"/>
          <w:color w:val="333333"/>
          <w:sz w:val="20"/>
          <w:szCs w:val="20"/>
        </w:rPr>
        <w:t>Ref No: MAIL/PPP/LC/OT/1398/009</w:t>
      </w:r>
    </w:p>
    <w:p w:rsidR="00D205D4" w:rsidRDefault="00D205D4" w:rsidP="00D205D4">
      <w:pPr>
        <w:pStyle w:val="NormalWeb"/>
        <w:rPr>
          <w:rFonts w:ascii="Arial" w:hAnsi="Arial" w:cs="Arial"/>
          <w:color w:val="333333"/>
          <w:sz w:val="20"/>
          <w:szCs w:val="20"/>
        </w:rPr>
      </w:pPr>
      <w:proofErr w:type="gramStart"/>
      <w:r>
        <w:rPr>
          <w:rFonts w:ascii="Arial" w:hAnsi="Arial" w:cs="Arial"/>
          <w:color w:val="333333"/>
          <w:sz w:val="20"/>
          <w:szCs w:val="20"/>
        </w:rPr>
        <w:t>Date.</w:t>
      </w:r>
      <w:proofErr w:type="gramEnd"/>
      <w:r>
        <w:rPr>
          <w:rFonts w:ascii="Arial" w:hAnsi="Arial" w:cs="Arial"/>
          <w:color w:val="333333"/>
          <w:sz w:val="20"/>
          <w:szCs w:val="20"/>
        </w:rPr>
        <w:t xml:space="preserve"> 23rd October, 2019</w:t>
      </w:r>
    </w:p>
    <w:p w:rsidR="00D205D4" w:rsidRDefault="00D205D4" w:rsidP="00D205D4">
      <w:pPr>
        <w:pStyle w:val="NormalWeb"/>
        <w:rPr>
          <w:rFonts w:ascii="Arial" w:hAnsi="Arial" w:cs="Arial"/>
          <w:color w:val="333333"/>
          <w:sz w:val="20"/>
          <w:szCs w:val="20"/>
        </w:rPr>
      </w:pP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Notice for Prequalification (Re-advertisement) Lease PPPs for the Operation, Maintenance and Management of Five Slaughterhouses in Afghanistan</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Ministry of Agriculture, Irrigation and Livestock (MAIL), Islamic Republic of Afghanistan, intends to grant leases for the operation, maintenance and management of 5 slaughterhouses in Afghanistan as 5 separate lease contracts and hereby invites interested companies/consortia to submit Applications for Lots 1 to 4 only in response to the Prequalification Document, so that it may evaluate and shortlist those Applicants who shall be invited to respond to the RFPs. As part of the RFP Stage, MAIL will evaluate the Proposals submitted by the Shortlisted Bidders and appoint Preferred Bidders to undertake the Project.</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Interested companies/consortia can register their interest by sending the completed Registration Form to habibullah.habibi@mail.gov.af to become Registered Entities, allowed to submit Applications to participate in the bidding process. The Registration Form and Prequalification Documents can be accessed at https://mof.gov.af/en/notice-prequalification-re-advertisement. A Pre-Application meeting will be organized on 13th November 2019 at MAIL, details of which would be duly notified to the Registered Entities.</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Applicants may submit Applications for a maximum of 3 Lots (each separately) out of the following:</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Lot 1 – Operation, Maintenance and Management of Kabul Reshkhor Slaughterhouse</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Lot 2 – Operation, Maintenance and Management of Kabul Shakardara Slaughterhouse</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Lot 3 – Operation, Maintenance and Management of Herat Slaughterhouse</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Lot 4 – Operation, Maintenance and Management of Mazar Slaughterhouse</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Applications must be in accordance with the terms and conditions of the Prequalification Document which entails the submission of the following completed forms.</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Form 1 – Prequalification Document Submission Identification Sheet</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Form 2 – Letter of Prequalification Response</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Form 3 – Particulars of Applicant</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Form 4 – Particulars of Eligible Projects</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Form 5 – Financial Capability</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Form 6 – Letter of Authorisation for Lead Member of Consortium</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Form 7 – Authorisation to a representative</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Form 8 – Certificate of Compliance</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lastRenderedPageBreak/>
        <w:t>Form 9 – Certificate by Affiliate of Applicant or Consortium Member of Willingness to Participate</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Form 10 – Prequalification Response Checklist</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Applications must be submitted in hard copy on or before 1400 hours AFT, on 4th December 2019 to the following address. Applications submitted electronically will not be accepted.</w:t>
      </w:r>
    </w:p>
    <w:p w:rsidR="00D205D4" w:rsidRDefault="00D205D4" w:rsidP="00D205D4">
      <w:pPr>
        <w:pStyle w:val="NormalWeb"/>
        <w:rPr>
          <w:rFonts w:ascii="Arial" w:hAnsi="Arial" w:cs="Arial"/>
          <w:color w:val="333333"/>
          <w:sz w:val="20"/>
          <w:szCs w:val="20"/>
        </w:rPr>
      </w:pP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Private Sector Development Director</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Ministry of Agriculture, Irrigation and Livestock</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Jamal Mina, Karte Sakhi</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Kabul, Afghanistan</w:t>
      </w:r>
    </w:p>
    <w:p w:rsidR="00D205D4" w:rsidRDefault="00D205D4" w:rsidP="00D205D4">
      <w:pPr>
        <w:pStyle w:val="NormalWeb"/>
        <w:rPr>
          <w:rFonts w:ascii="Arial" w:hAnsi="Arial" w:cs="Arial"/>
          <w:color w:val="333333"/>
          <w:sz w:val="20"/>
          <w:szCs w:val="20"/>
        </w:rPr>
      </w:pP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 xml:space="preserve">For any clarification, email can be sent to habibullah.habibi@mail.gov.af and copy jawid.yosufzai@mof.gov.af and </w:t>
      </w:r>
      <w:proofErr w:type="gramStart"/>
      <w:r>
        <w:rPr>
          <w:rFonts w:ascii="Arial" w:hAnsi="Arial" w:cs="Arial"/>
          <w:color w:val="333333"/>
          <w:sz w:val="20"/>
          <w:szCs w:val="20"/>
        </w:rPr>
        <w:t>ahmadshah.babakarkhail@mof.gov.af .</w:t>
      </w:r>
      <w:proofErr w:type="gramEnd"/>
      <w:r>
        <w:rPr>
          <w:rFonts w:ascii="Arial" w:hAnsi="Arial" w:cs="Arial"/>
          <w:color w:val="333333"/>
          <w:sz w:val="20"/>
          <w:szCs w:val="20"/>
        </w:rPr>
        <w:t xml:space="preserve"> Authority reserves the right to accept, reject and/or re-invite the Prequalification without assigning any reason, whatsoever.</w:t>
      </w:r>
    </w:p>
    <w:p w:rsidR="00D205D4" w:rsidRDefault="00D205D4" w:rsidP="00D205D4">
      <w:pPr>
        <w:pStyle w:val="NormalWeb"/>
        <w:rPr>
          <w:rFonts w:ascii="Arial" w:hAnsi="Arial" w:cs="Arial"/>
          <w:color w:val="333333"/>
          <w:sz w:val="20"/>
          <w:szCs w:val="20"/>
        </w:rPr>
      </w:pP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Habibullah Habibi</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Private Sector Development Director</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Ministry of Agriculture, Irrigation and Livestock</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Jamal Mina, Karte Sakhi</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Kabul, Afghanistan</w:t>
      </w:r>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 xml:space="preserve">E-mail:   </w:t>
      </w:r>
      <w:hyperlink r:id="rId5" w:history="1">
        <w:r w:rsidRPr="00DE591A">
          <w:rPr>
            <w:rStyle w:val="Hyperlink"/>
            <w:rFonts w:ascii="Arial" w:hAnsi="Arial" w:cs="Arial"/>
            <w:sz w:val="20"/>
            <w:szCs w:val="20"/>
          </w:rPr>
          <w:t>habibullah.habibi@mail.gov.af</w:t>
        </w:r>
      </w:hyperlink>
      <w:r>
        <w:rPr>
          <w:rFonts w:ascii="Arial" w:hAnsi="Arial" w:cs="Arial"/>
          <w:color w:val="333333"/>
          <w:sz w:val="20"/>
          <w:szCs w:val="20"/>
        </w:rPr>
        <w:t xml:space="preserve"> </w:t>
      </w:r>
      <w:bookmarkStart w:id="0" w:name="_GoBack"/>
      <w:bookmarkEnd w:id="0"/>
    </w:p>
    <w:p w:rsidR="00D205D4" w:rsidRDefault="00D205D4" w:rsidP="00D205D4">
      <w:pPr>
        <w:pStyle w:val="NormalWeb"/>
        <w:rPr>
          <w:rFonts w:ascii="Arial" w:hAnsi="Arial" w:cs="Arial"/>
          <w:color w:val="333333"/>
          <w:sz w:val="20"/>
          <w:szCs w:val="20"/>
        </w:rPr>
      </w:pPr>
      <w:r>
        <w:rPr>
          <w:rFonts w:ascii="Arial" w:hAnsi="Arial" w:cs="Arial"/>
          <w:color w:val="333333"/>
          <w:sz w:val="20"/>
          <w:szCs w:val="20"/>
        </w:rPr>
        <w:t xml:space="preserve">                </w:t>
      </w:r>
      <w:hyperlink r:id="rId6" w:history="1">
        <w:r w:rsidRPr="00DE591A">
          <w:rPr>
            <w:rStyle w:val="Hyperlink"/>
            <w:rFonts w:ascii="Arial" w:hAnsi="Arial" w:cs="Arial"/>
            <w:sz w:val="20"/>
            <w:szCs w:val="20"/>
          </w:rPr>
          <w:t>habibullah.habibi@hotmail.com</w:t>
        </w:r>
      </w:hyperlink>
      <w:r>
        <w:rPr>
          <w:rFonts w:ascii="Arial" w:hAnsi="Arial" w:cs="Arial"/>
          <w:color w:val="333333"/>
          <w:sz w:val="20"/>
          <w:szCs w:val="20"/>
        </w:rPr>
        <w:t xml:space="preserve"> </w:t>
      </w:r>
    </w:p>
    <w:p w:rsidR="00DE6047" w:rsidRDefault="00DE6047"/>
    <w:sectPr w:rsidR="00DE6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D4"/>
    <w:rsid w:val="00D205D4"/>
    <w:rsid w:val="00DE60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5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05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5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8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abibullah.habibi@hotmail.com" TargetMode="External"/><Relationship Id="rId5" Type="http://schemas.openxmlformats.org/officeDocument/2006/relationships/hyperlink" Target="mailto:habibullah.habibi@mail.gov.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Company>home</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2019-10-24T03:47:00Z</dcterms:created>
  <dcterms:modified xsi:type="dcterms:W3CDTF">2019-10-24T03:47:00Z</dcterms:modified>
</cp:coreProperties>
</file>