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BDB1A" w14:textId="77777777" w:rsidR="008F4AD6" w:rsidRPr="00C01D04" w:rsidRDefault="008F4AD6" w:rsidP="008F4AD6">
      <w:pPr>
        <w:pStyle w:val="Heading1"/>
        <w:numPr>
          <w:ilvl w:val="0"/>
          <w:numId w:val="7"/>
        </w:numPr>
        <w:ind w:left="360"/>
        <w:rPr>
          <w:rFonts w:ascii="Cambria" w:hAnsi="Cambria"/>
          <w:color w:val="2E74B5" w:themeColor="accent1" w:themeShade="BF"/>
          <w:sz w:val="26"/>
          <w:szCs w:val="26"/>
        </w:rPr>
      </w:pPr>
      <w:r w:rsidRPr="00C01D04">
        <w:rPr>
          <w:rFonts w:ascii="Cambria" w:hAnsi="Cambria"/>
          <w:color w:val="2E74B5" w:themeColor="accent1" w:themeShade="BF"/>
          <w:sz w:val="26"/>
          <w:szCs w:val="26"/>
        </w:rPr>
        <w:t xml:space="preserve">Synopsis of the </w:t>
      </w:r>
      <w:r w:rsidR="008C4DEE" w:rsidRPr="00C01D04">
        <w:rPr>
          <w:rFonts w:ascii="Cambria" w:hAnsi="Cambria"/>
          <w:color w:val="2E74B5" w:themeColor="accent1" w:themeShade="BF"/>
          <w:sz w:val="26"/>
          <w:szCs w:val="26"/>
        </w:rPr>
        <w:t>Request for Quotation</w:t>
      </w:r>
    </w:p>
    <w:p w14:paraId="02612767" w14:textId="68BF332B" w:rsidR="009954D3" w:rsidRPr="009954D3" w:rsidRDefault="009954D3" w:rsidP="00F37250">
      <w:r>
        <w:t>DAI, implementer of the USAID funded</w:t>
      </w:r>
      <w:r w:rsidR="00070AC3">
        <w:t xml:space="preserve"> Regional Agriculture Development Program – East (RADP-E)</w:t>
      </w:r>
      <w:r>
        <w:t xml:space="preserve">, invites qualified vendors to submit </w:t>
      </w:r>
      <w:r w:rsidR="009734C6">
        <w:t>quotations</w:t>
      </w:r>
      <w:r>
        <w:t xml:space="preserve"> to supply and deliver</w:t>
      </w:r>
      <w:r w:rsidR="008D3518">
        <w:t xml:space="preserve"> </w:t>
      </w:r>
      <w:r w:rsidR="008D3518" w:rsidRPr="008D3518">
        <w:t>Product Branding and Website Development</w:t>
      </w:r>
      <w:r w:rsidR="008D3518">
        <w:t xml:space="preserve"> services for RADP-E supported Agro-enterprises</w:t>
      </w:r>
      <w:r>
        <w:t xml:space="preserve">, as </w:t>
      </w:r>
      <w:r w:rsidR="009734C6">
        <w:t>follows:</w:t>
      </w:r>
    </w:p>
    <w:tbl>
      <w:tblPr>
        <w:tblW w:w="5968" w:type="pct"/>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1"/>
        <w:gridCol w:w="8189"/>
      </w:tblGrid>
      <w:tr w:rsidR="008F4AD6" w:rsidRPr="00DC4E7D" w14:paraId="29B148CB" w14:textId="77777777" w:rsidTr="00AB4BCA">
        <w:trPr>
          <w:trHeight w:val="386"/>
        </w:trPr>
        <w:tc>
          <w:tcPr>
            <w:tcW w:w="1331" w:type="pct"/>
          </w:tcPr>
          <w:p w14:paraId="64313B4F" w14:textId="77777777" w:rsidR="008F4AD6" w:rsidRPr="00DC4E7D" w:rsidRDefault="008C4DEE" w:rsidP="009734C6">
            <w:pPr>
              <w:pStyle w:val="ListParagraph"/>
              <w:numPr>
                <w:ilvl w:val="0"/>
                <w:numId w:val="15"/>
              </w:numPr>
              <w:spacing w:after="0" w:line="240" w:lineRule="auto"/>
              <w:ind w:left="342" w:hanging="342"/>
            </w:pPr>
            <w:r w:rsidRPr="00DC4E7D">
              <w:t>RFQ No.</w:t>
            </w:r>
            <w:r w:rsidR="008F4AD6" w:rsidRPr="00DC4E7D">
              <w:t xml:space="preserve"> </w:t>
            </w:r>
          </w:p>
        </w:tc>
        <w:tc>
          <w:tcPr>
            <w:tcW w:w="3669" w:type="pct"/>
          </w:tcPr>
          <w:p w14:paraId="4FBD3BF0" w14:textId="1D20C266" w:rsidR="008F4AD6" w:rsidRPr="00D7542B" w:rsidRDefault="008C4DEE" w:rsidP="009734C6">
            <w:pPr>
              <w:spacing w:after="0" w:line="240" w:lineRule="auto"/>
            </w:pPr>
            <w:r w:rsidRPr="00D7542B">
              <w:t>RFQ</w:t>
            </w:r>
            <w:r w:rsidR="008F57A0">
              <w:t>-RADP-E-KBL-20-001</w:t>
            </w:r>
            <w:r w:rsidR="00AF723F">
              <w:t>4</w:t>
            </w:r>
            <w:r w:rsidR="008F4AD6" w:rsidRPr="00D7542B">
              <w:t>.</w:t>
            </w:r>
          </w:p>
        </w:tc>
      </w:tr>
      <w:tr w:rsidR="008F4AD6" w:rsidRPr="00DC4E7D" w14:paraId="3C4E9B76" w14:textId="77777777" w:rsidTr="00AB4BCA">
        <w:trPr>
          <w:trHeight w:val="377"/>
        </w:trPr>
        <w:tc>
          <w:tcPr>
            <w:tcW w:w="1331" w:type="pct"/>
          </w:tcPr>
          <w:p w14:paraId="11426F16" w14:textId="77777777" w:rsidR="008F4AD6" w:rsidRPr="00DC4E7D" w:rsidRDefault="008F4AD6" w:rsidP="009734C6">
            <w:pPr>
              <w:pStyle w:val="ListParagraph"/>
              <w:numPr>
                <w:ilvl w:val="0"/>
                <w:numId w:val="15"/>
              </w:numPr>
              <w:spacing w:after="0" w:line="240" w:lineRule="auto"/>
              <w:ind w:left="342" w:hanging="342"/>
            </w:pPr>
            <w:r w:rsidRPr="00DC4E7D">
              <w:t>Issue Date</w:t>
            </w:r>
          </w:p>
        </w:tc>
        <w:tc>
          <w:tcPr>
            <w:tcW w:w="3669" w:type="pct"/>
          </w:tcPr>
          <w:p w14:paraId="3CAC6294" w14:textId="1A6A831E" w:rsidR="008F4AD6" w:rsidRPr="00131051" w:rsidRDefault="008F57A0" w:rsidP="009734C6">
            <w:pPr>
              <w:spacing w:after="0" w:line="240" w:lineRule="auto"/>
            </w:pPr>
            <w:r>
              <w:t xml:space="preserve">April </w:t>
            </w:r>
            <w:r w:rsidR="00AF723F">
              <w:t>6</w:t>
            </w:r>
            <w:r>
              <w:t>,</w:t>
            </w:r>
            <w:r w:rsidR="00FF5664" w:rsidRPr="00D7542B">
              <w:rPr>
                <w:vertAlign w:val="superscript"/>
              </w:rPr>
              <w:t xml:space="preserve"> </w:t>
            </w:r>
            <w:r w:rsidR="00131051" w:rsidRPr="00D7542B">
              <w:t xml:space="preserve"> 20</w:t>
            </w:r>
            <w:r>
              <w:t>20</w:t>
            </w:r>
          </w:p>
        </w:tc>
      </w:tr>
      <w:tr w:rsidR="008F4AD6" w:rsidRPr="00DC4E7D" w14:paraId="5A46CB00" w14:textId="77777777" w:rsidTr="00AB4BCA">
        <w:tc>
          <w:tcPr>
            <w:tcW w:w="1331" w:type="pct"/>
          </w:tcPr>
          <w:p w14:paraId="2EAED396" w14:textId="77777777" w:rsidR="008F4AD6" w:rsidRPr="00DC4E7D" w:rsidRDefault="008F4AD6" w:rsidP="009734C6">
            <w:pPr>
              <w:pStyle w:val="ListParagraph"/>
              <w:numPr>
                <w:ilvl w:val="0"/>
                <w:numId w:val="15"/>
              </w:numPr>
              <w:spacing w:after="0" w:line="240" w:lineRule="auto"/>
              <w:ind w:left="342" w:hanging="342"/>
            </w:pPr>
            <w:r w:rsidRPr="00DC4E7D">
              <w:t>Title</w:t>
            </w:r>
          </w:p>
        </w:tc>
        <w:tc>
          <w:tcPr>
            <w:tcW w:w="3669" w:type="pct"/>
          </w:tcPr>
          <w:p w14:paraId="03F7F38B" w14:textId="0A1AE485" w:rsidR="008F4AD6" w:rsidRPr="00DC4E7D" w:rsidRDefault="008D3518" w:rsidP="009734C6">
            <w:pPr>
              <w:spacing w:after="0" w:line="240" w:lineRule="auto"/>
              <w:rPr>
                <w:highlight w:val="yellow"/>
              </w:rPr>
            </w:pPr>
            <w:r w:rsidRPr="008D3518">
              <w:t>Product Branding and Website Development</w:t>
            </w:r>
            <w:r>
              <w:t xml:space="preserve"> services for RADP-E supported Agro-enterprises</w:t>
            </w:r>
          </w:p>
        </w:tc>
      </w:tr>
      <w:tr w:rsidR="008D3518" w:rsidRPr="00DC4E7D" w14:paraId="7FB033B7" w14:textId="77777777" w:rsidTr="00AB4BCA">
        <w:tc>
          <w:tcPr>
            <w:tcW w:w="1331" w:type="pct"/>
          </w:tcPr>
          <w:p w14:paraId="68E69EFB" w14:textId="77777777" w:rsidR="008D3518" w:rsidRPr="00DC4E7D" w:rsidRDefault="008D3518" w:rsidP="008D3518">
            <w:pPr>
              <w:pStyle w:val="ListParagraph"/>
              <w:numPr>
                <w:ilvl w:val="0"/>
                <w:numId w:val="15"/>
              </w:numPr>
              <w:spacing w:after="0" w:line="240" w:lineRule="auto"/>
              <w:ind w:left="342" w:hanging="342"/>
            </w:pPr>
            <w:r w:rsidRPr="00DC4E7D">
              <w:t>Issuing Office &amp; Email/Physical Address for Submission of Quotes</w:t>
            </w:r>
          </w:p>
        </w:tc>
        <w:tc>
          <w:tcPr>
            <w:tcW w:w="3669" w:type="pct"/>
          </w:tcPr>
          <w:p w14:paraId="62AA9150" w14:textId="77777777" w:rsidR="008D3518" w:rsidRPr="008D3518" w:rsidRDefault="008D3518" w:rsidP="008D3518">
            <w:pPr>
              <w:spacing w:after="0" w:line="240" w:lineRule="auto"/>
            </w:pPr>
            <w:r w:rsidRPr="008D3518">
              <w:t>RADP-East</w:t>
            </w:r>
          </w:p>
          <w:p w14:paraId="4495A385" w14:textId="77777777" w:rsidR="008D3518" w:rsidRPr="008D3518" w:rsidRDefault="00781BF8" w:rsidP="008D3518">
            <w:pPr>
              <w:spacing w:after="0" w:line="240" w:lineRule="auto"/>
            </w:pPr>
            <w:hyperlink r:id="rId8" w:history="1">
              <w:r w:rsidR="008D3518" w:rsidRPr="00C01D04">
                <w:rPr>
                  <w:rStyle w:val="Hyperlink"/>
                  <w:color w:val="2E74B5" w:themeColor="accent1" w:themeShade="BF"/>
                  <w:u w:val="none"/>
                </w:rPr>
                <w:t>ProcurementRADP_East_Inbox@dai.com</w:t>
              </w:r>
            </w:hyperlink>
            <w:r w:rsidR="008D3518" w:rsidRPr="008D3518">
              <w:t xml:space="preserve"> </w:t>
            </w:r>
          </w:p>
          <w:p w14:paraId="3BAF1004" w14:textId="77777777" w:rsidR="008D3518" w:rsidRPr="008D3518" w:rsidRDefault="008D3518" w:rsidP="008D3518">
            <w:pPr>
              <w:spacing w:after="0" w:line="240" w:lineRule="auto"/>
            </w:pPr>
            <w:r w:rsidRPr="008D3518">
              <w:t xml:space="preserve">Or hard copy (sealed envelope) to RADP-East office </w:t>
            </w:r>
          </w:p>
          <w:p w14:paraId="726DF72B" w14:textId="4606361B" w:rsidR="008D3518" w:rsidRPr="00DC4E7D" w:rsidRDefault="008D3518" w:rsidP="008D3518">
            <w:pPr>
              <w:spacing w:after="0" w:line="240" w:lineRule="auto"/>
              <w:rPr>
                <w:highlight w:val="yellow"/>
              </w:rPr>
            </w:pPr>
            <w:r w:rsidRPr="008D3518">
              <w:t>Darya Village, Hawashenasy road, Khwaja Rawash Kabul.</w:t>
            </w:r>
          </w:p>
        </w:tc>
      </w:tr>
      <w:tr w:rsidR="008D3518" w:rsidRPr="00DC4E7D" w14:paraId="6B421022" w14:textId="77777777" w:rsidTr="00AB4BCA">
        <w:trPr>
          <w:trHeight w:val="359"/>
        </w:trPr>
        <w:tc>
          <w:tcPr>
            <w:tcW w:w="1331" w:type="pct"/>
          </w:tcPr>
          <w:p w14:paraId="25BCE081" w14:textId="77777777" w:rsidR="008D3518" w:rsidRPr="00DC4E7D" w:rsidRDefault="008D3518" w:rsidP="008D3518">
            <w:pPr>
              <w:pStyle w:val="ListParagraph"/>
              <w:numPr>
                <w:ilvl w:val="0"/>
                <w:numId w:val="15"/>
              </w:numPr>
              <w:spacing w:after="0" w:line="240" w:lineRule="auto"/>
              <w:ind w:left="342" w:hanging="342"/>
            </w:pPr>
            <w:r w:rsidRPr="00DC4E7D">
              <w:t>Deadline for Receipt of Quotes.</w:t>
            </w:r>
          </w:p>
        </w:tc>
        <w:tc>
          <w:tcPr>
            <w:tcW w:w="3669" w:type="pct"/>
          </w:tcPr>
          <w:p w14:paraId="59FD736D" w14:textId="45FB12AF" w:rsidR="008D3518" w:rsidRPr="00DC4E7D" w:rsidRDefault="008F57A0" w:rsidP="008D3518">
            <w:pPr>
              <w:spacing w:after="0" w:line="240" w:lineRule="auto"/>
              <w:rPr>
                <w:highlight w:val="yellow"/>
              </w:rPr>
            </w:pPr>
            <w:r>
              <w:t>A</w:t>
            </w:r>
            <w:r w:rsidR="00AB4BCA">
              <w:t>pril 25,</w:t>
            </w:r>
            <w:r w:rsidR="00FF5664" w:rsidRPr="00D7542B">
              <w:t xml:space="preserve"> </w:t>
            </w:r>
            <w:r>
              <w:t>2020</w:t>
            </w:r>
            <w:r w:rsidR="00AB4BCA">
              <w:t xml:space="preserve"> </w:t>
            </w:r>
            <w:r w:rsidR="0090712A">
              <w:t xml:space="preserve"> </w:t>
            </w:r>
            <w:r w:rsidR="0090712A" w:rsidRPr="00E55E3C">
              <w:t>4:00PM local time</w:t>
            </w:r>
          </w:p>
        </w:tc>
      </w:tr>
      <w:tr w:rsidR="008D3518" w:rsidRPr="00DC4E7D" w14:paraId="4090E135" w14:textId="77777777" w:rsidTr="00AB4BCA">
        <w:tc>
          <w:tcPr>
            <w:tcW w:w="1331" w:type="pct"/>
          </w:tcPr>
          <w:p w14:paraId="6071EC00" w14:textId="1B3B6FFC" w:rsidR="008D3518" w:rsidRPr="00DC4E7D" w:rsidRDefault="00595999" w:rsidP="008D3518">
            <w:pPr>
              <w:pStyle w:val="ListParagraph"/>
              <w:numPr>
                <w:ilvl w:val="0"/>
                <w:numId w:val="15"/>
              </w:numPr>
              <w:spacing w:after="0" w:line="240" w:lineRule="auto"/>
              <w:ind w:left="342" w:hanging="342"/>
            </w:pPr>
            <w:r>
              <w:t>Pre Bidders Conference</w:t>
            </w:r>
          </w:p>
        </w:tc>
        <w:tc>
          <w:tcPr>
            <w:tcW w:w="3669" w:type="pct"/>
          </w:tcPr>
          <w:p w14:paraId="752F578B" w14:textId="77777777" w:rsidR="008F6E8B" w:rsidRDefault="00781BF8" w:rsidP="008D3518">
            <w:pPr>
              <w:spacing w:after="0" w:line="240" w:lineRule="auto"/>
              <w:rPr>
                <w:rStyle w:val="Style4"/>
                <w:sz w:val="20"/>
                <w:szCs w:val="20"/>
              </w:rPr>
            </w:pPr>
            <w:hyperlink r:id="rId9" w:history="1">
              <w:r w:rsidR="008F6E8B" w:rsidRPr="00C01D04">
                <w:rPr>
                  <w:rStyle w:val="Hyperlink"/>
                  <w:color w:val="2E74B5" w:themeColor="accent1" w:themeShade="BF"/>
                  <w:sz w:val="20"/>
                  <w:szCs w:val="20"/>
                  <w:u w:val="none"/>
                </w:rPr>
                <w:t>ProcurementRADP_East@dai.co</w:t>
              </w:r>
              <w:r w:rsidR="008F6E8B" w:rsidRPr="009545BD">
                <w:rPr>
                  <w:rStyle w:val="Hyperlink"/>
                  <w:sz w:val="20"/>
                  <w:szCs w:val="20"/>
                  <w:u w:val="none"/>
                </w:rPr>
                <w:t>m</w:t>
              </w:r>
            </w:hyperlink>
            <w:r w:rsidR="008F6E8B">
              <w:rPr>
                <w:rStyle w:val="Style4"/>
                <w:sz w:val="20"/>
                <w:szCs w:val="20"/>
              </w:rPr>
              <w:t xml:space="preserve"> </w:t>
            </w:r>
          </w:p>
          <w:p w14:paraId="0D779B63" w14:textId="2C4BDB78" w:rsidR="008D3518" w:rsidRPr="00131051" w:rsidRDefault="00824047" w:rsidP="008D3518">
            <w:pPr>
              <w:spacing w:after="0" w:line="240" w:lineRule="auto"/>
              <w:rPr>
                <w:rStyle w:val="Hyperlink"/>
                <w:u w:val="none"/>
              </w:rPr>
            </w:pPr>
            <w:r w:rsidRPr="00595999">
              <w:rPr>
                <w:sz w:val="20"/>
                <w:szCs w:val="20"/>
              </w:rPr>
              <w:t>Note: Questions/comments regarding the RFQ should be submitted to this email ONLY by the due date/time specified in section 10. Please see section 10 for details. Questions/comments submitted to other emails (unless specified otherwise) may not be entertained.</w:t>
            </w:r>
            <w:r w:rsidRPr="009545BD">
              <w:rPr>
                <w:rStyle w:val="Style4"/>
                <w:sz w:val="20"/>
                <w:szCs w:val="20"/>
              </w:rPr>
              <w:t xml:space="preserve"> </w:t>
            </w:r>
            <w:r w:rsidR="008D3518" w:rsidRPr="00131051">
              <w:rPr>
                <w:rStyle w:val="Hyperlink"/>
                <w:u w:val="none"/>
              </w:rPr>
              <w:t xml:space="preserve"> </w:t>
            </w:r>
          </w:p>
        </w:tc>
      </w:tr>
      <w:tr w:rsidR="008D3518" w:rsidRPr="00DC4E7D" w14:paraId="03CCE821" w14:textId="77777777" w:rsidTr="00AB4BCA">
        <w:tc>
          <w:tcPr>
            <w:tcW w:w="1331" w:type="pct"/>
          </w:tcPr>
          <w:p w14:paraId="111C8998" w14:textId="77777777" w:rsidR="008D3518" w:rsidRPr="00DC4E7D" w:rsidRDefault="008D3518" w:rsidP="008D3518">
            <w:pPr>
              <w:pStyle w:val="ListParagraph"/>
              <w:numPr>
                <w:ilvl w:val="0"/>
                <w:numId w:val="15"/>
              </w:numPr>
              <w:spacing w:after="0" w:line="240" w:lineRule="auto"/>
              <w:ind w:left="342" w:hanging="342"/>
            </w:pPr>
            <w:r w:rsidRPr="00DC4E7D">
              <w:t>Anticipated Award Type</w:t>
            </w:r>
          </w:p>
        </w:tc>
        <w:tc>
          <w:tcPr>
            <w:tcW w:w="3669" w:type="pct"/>
          </w:tcPr>
          <w:p w14:paraId="4ABC00A7" w14:textId="77777777" w:rsidR="008D3518" w:rsidRPr="008D3518" w:rsidRDefault="008D3518" w:rsidP="008D3518">
            <w:pPr>
              <w:pStyle w:val="NoSpacing"/>
              <w:jc w:val="both"/>
            </w:pPr>
            <w:r w:rsidRPr="008D3518">
              <w:rPr>
                <w:b/>
                <w:bCs/>
              </w:rPr>
              <w:t>Blanket Purchase Agreement (BPA)</w:t>
            </w:r>
            <w:r w:rsidRPr="008D3518">
              <w:t xml:space="preserve">. </w:t>
            </w:r>
          </w:p>
          <w:p w14:paraId="2971E322" w14:textId="16674905" w:rsidR="008D3518" w:rsidRPr="008D3518" w:rsidRDefault="008D3518" w:rsidP="008D3518">
            <w:pPr>
              <w:pStyle w:val="NoSpacing"/>
              <w:jc w:val="both"/>
            </w:pPr>
            <w:r w:rsidRPr="008D3518">
              <w:t xml:space="preserve">A Blanket Purchase Agreement (BPA) is a master ordering agreement that establishes unit prices for a category of </w:t>
            </w:r>
            <w:r>
              <w:t>services</w:t>
            </w:r>
            <w:r w:rsidRPr="008D3518">
              <w:t xml:space="preserve"> that will be procured on a recurring basis over a fixed period of time. Individual release orders are issued against the BPA for specific quantities as needed. A BPA places a limit on the total dollar value which may be procured within a specified period of time. A BPA does not commit or guarantee that the project will spend any amount under the agreement, but rather a simplified method of filling anticipated repetitive needs from qualified sources. Offerors are expected to include all costs, direct and indirect, into their total proposed unit prices and fix (guarantee) the prices over the stated period of performance, not to be adjusted unless the BPA is modified or the period of performance of the BPA expires and a new BPA is in place.</w:t>
            </w:r>
          </w:p>
          <w:p w14:paraId="11234860" w14:textId="3D0D06CA" w:rsidR="008D3518" w:rsidRPr="008D3518" w:rsidRDefault="008D3518" w:rsidP="008D3518">
            <w:pPr>
              <w:spacing w:after="0" w:line="240" w:lineRule="auto"/>
              <w:jc w:val="both"/>
            </w:pPr>
            <w:r w:rsidRPr="008D3518">
              <w:t>One or more BPAs will be issued as a result of this solicitation. The duration of the BPA is estimated to be one year. BPA will specify the general terms and conditions of procurement but will not have any value. Individual orders will be placed through Release Orders (ROs) issued periodically throughout the validity period of the BPA.</w:t>
            </w:r>
          </w:p>
          <w:p w14:paraId="119C471F" w14:textId="77777777" w:rsidR="008D3518" w:rsidRPr="008D3518" w:rsidRDefault="008D3518" w:rsidP="008D3518">
            <w:pPr>
              <w:spacing w:after="0" w:line="240" w:lineRule="auto"/>
              <w:jc w:val="both"/>
            </w:pPr>
            <w:r w:rsidRPr="008D3518">
              <w:t>Issuance of this RFQ in no way obligates DAI to award a subcontract or purchase order and Bidders will not be reimbursed for any costs associated with the preparation of their quote. A copy of the organization's AISA or Ministry of Commerce license and TIN (Tax Identification Number).   Amounts deducted from the invoices will be forwarded to the Ministry of Finance (</w:t>
            </w:r>
            <w:proofErr w:type="spellStart"/>
            <w:r w:rsidRPr="008D3518">
              <w:t>MoF</w:t>
            </w:r>
            <w:proofErr w:type="spellEnd"/>
            <w:r w:rsidRPr="008D3518">
              <w:t>) Tax Division credited to the firm's TIN.  Records of payments to the MOF shall be maintained on file with DAI.</w:t>
            </w:r>
          </w:p>
          <w:p w14:paraId="3361253D" w14:textId="77777777" w:rsidR="008D3518" w:rsidRPr="008D3518" w:rsidRDefault="008D3518" w:rsidP="008D3518">
            <w:pPr>
              <w:spacing w:after="0" w:line="240" w:lineRule="auto"/>
              <w:jc w:val="both"/>
              <w:rPr>
                <w:b/>
              </w:rPr>
            </w:pPr>
            <w:r w:rsidRPr="008D3518">
              <w:rPr>
                <w:b/>
              </w:rPr>
              <w:t>Government Withholding Tax for Afghan Based Companies</w:t>
            </w:r>
          </w:p>
          <w:p w14:paraId="30DE58BF" w14:textId="77777777" w:rsidR="008D3518" w:rsidRPr="008D3518" w:rsidRDefault="008D3518" w:rsidP="008D3518">
            <w:pPr>
              <w:spacing w:after="0" w:line="240" w:lineRule="auto"/>
              <w:jc w:val="both"/>
            </w:pPr>
            <w:r w:rsidRPr="008D3518">
              <w:t xml:space="preserve">Pursuant to Article 72 in the Afghanistan Tax Law effective March 21, 2009, DAI is required to withhold "contractor" taxes from the gross amounts payable to all Afghan for-profit subcontractors/vendors. In accordance with this requirement, DAI shall withhold two </w:t>
            </w:r>
            <w:r w:rsidRPr="008D3518">
              <w:lastRenderedPageBreak/>
              <w:t>percent (2%) tax from all gross invoices to Afghan subcontractors/vendors under this Agreement with active AISA or Ministry of Commerce license.</w:t>
            </w:r>
          </w:p>
          <w:p w14:paraId="5CFF6B15" w14:textId="77777777" w:rsidR="008D3518" w:rsidRPr="008D3518" w:rsidRDefault="008D3518" w:rsidP="008D3518">
            <w:pPr>
              <w:spacing w:after="0" w:line="240" w:lineRule="auto"/>
              <w:jc w:val="both"/>
            </w:pPr>
            <w:r w:rsidRPr="008D3518">
              <w:t>For subcontractors/vendors without an active AISA or Ministry of Commerce license, DAI shall withhold seven percent (7%) "Contractor" taxes per current Afghanistan Tax Law.</w:t>
            </w:r>
          </w:p>
          <w:p w14:paraId="751D6587" w14:textId="4DBBDA59" w:rsidR="008D3518" w:rsidRPr="008D3518" w:rsidRDefault="008D3518" w:rsidP="008D3518">
            <w:pPr>
              <w:spacing w:after="0" w:line="240" w:lineRule="auto"/>
              <w:jc w:val="both"/>
              <w:rPr>
                <w:highlight w:val="yellow"/>
              </w:rPr>
            </w:pPr>
            <w:r w:rsidRPr="008D3518">
              <w:t>Before signing an Agreement, the subcontractor/vendor will provide a copy of the organization's AISA or Ministry of Commerce license and TIN (Tax Identification Number).   Amounts deducted from the invoices will be forwarded to the Ministry of Finance (</w:t>
            </w:r>
            <w:proofErr w:type="spellStart"/>
            <w:r w:rsidRPr="008D3518">
              <w:t>MoF</w:t>
            </w:r>
            <w:proofErr w:type="spellEnd"/>
            <w:r w:rsidRPr="008D3518">
              <w:t>) Tax Division credited to the firm's TIN.  Records of payments to the MOF shall be maintained on file with DAI.</w:t>
            </w:r>
          </w:p>
        </w:tc>
      </w:tr>
      <w:tr w:rsidR="008D3518" w:rsidRPr="00DC4E7D" w14:paraId="7846D5AD" w14:textId="77777777" w:rsidTr="00AB4BCA">
        <w:tc>
          <w:tcPr>
            <w:tcW w:w="1331" w:type="pct"/>
          </w:tcPr>
          <w:p w14:paraId="66F1E5AB" w14:textId="77777777" w:rsidR="008D3518" w:rsidRPr="00DC4E7D" w:rsidRDefault="008D3518" w:rsidP="008D3518">
            <w:pPr>
              <w:pStyle w:val="ListParagraph"/>
              <w:numPr>
                <w:ilvl w:val="0"/>
                <w:numId w:val="15"/>
              </w:numPr>
              <w:spacing w:after="0" w:line="240" w:lineRule="auto"/>
              <w:ind w:left="342" w:hanging="342"/>
            </w:pPr>
            <w:r w:rsidRPr="00DC4E7D">
              <w:lastRenderedPageBreak/>
              <w:t>Basis for Award</w:t>
            </w:r>
          </w:p>
        </w:tc>
        <w:tc>
          <w:tcPr>
            <w:tcW w:w="3669" w:type="pct"/>
          </w:tcPr>
          <w:p w14:paraId="6904CD5A" w14:textId="66CF3F32" w:rsidR="008D3518" w:rsidRPr="00131051" w:rsidRDefault="00131051" w:rsidP="008D3518">
            <w:pPr>
              <w:spacing w:after="0" w:line="240" w:lineRule="auto"/>
            </w:pPr>
            <w:r w:rsidRPr="00131051">
              <w:t xml:space="preserve">An award will be made to the responsible bidder whose bid is responsive to the terms of the RFQ and is most advantageous to DAI, considering lowest price on technical acceptable basis, with or/and other factors included in the RFQ. To be considered for award, bidders must meet the requirements identified in Section 12, “Determination of Responsibility”. </w:t>
            </w:r>
            <w:r w:rsidRPr="00131051">
              <w:rPr>
                <w:b/>
              </w:rPr>
              <w:t>No discussions or negotiations are permitted with bidders, and therefore bidders shall submit their best and final price</w:t>
            </w:r>
          </w:p>
        </w:tc>
      </w:tr>
    </w:tbl>
    <w:p w14:paraId="508041D6" w14:textId="77777777" w:rsidR="008F4AD6" w:rsidRPr="008C5B96" w:rsidRDefault="008F4AD6" w:rsidP="008F4AD6">
      <w:pPr>
        <w:pStyle w:val="Heading1"/>
        <w:spacing w:before="0"/>
        <w:sectPr w:rsidR="008F4AD6" w:rsidRPr="008C5B96" w:rsidSect="00876309">
          <w:pgSz w:w="12240" w:h="15840" w:code="1"/>
          <w:pgMar w:top="1440" w:right="1440" w:bottom="1440" w:left="1440" w:header="720" w:footer="720" w:gutter="0"/>
          <w:cols w:space="720"/>
          <w:docGrid w:linePitch="360"/>
        </w:sectPr>
      </w:pPr>
    </w:p>
    <w:p w14:paraId="0A0F01E8" w14:textId="77777777" w:rsidR="008F4AD6" w:rsidRDefault="008F4AD6" w:rsidP="008F4AD6">
      <w:pPr>
        <w:pStyle w:val="Heading1"/>
        <w:numPr>
          <w:ilvl w:val="0"/>
          <w:numId w:val="0"/>
        </w:numPr>
        <w:rPr>
          <w:rFonts w:ascii="Cambria" w:hAnsi="Cambria"/>
          <w:sz w:val="26"/>
          <w:szCs w:val="26"/>
        </w:rPr>
      </w:pPr>
    </w:p>
    <w:p w14:paraId="7CC8D8CD" w14:textId="77777777" w:rsidR="002C0C24" w:rsidRPr="00C01D04" w:rsidRDefault="009734C6" w:rsidP="009954D3">
      <w:pPr>
        <w:pStyle w:val="Heading1"/>
        <w:numPr>
          <w:ilvl w:val="0"/>
          <w:numId w:val="7"/>
        </w:numPr>
        <w:ind w:left="360"/>
        <w:rPr>
          <w:rFonts w:ascii="Cambria" w:hAnsi="Cambria"/>
          <w:color w:val="2E74B5" w:themeColor="accent1" w:themeShade="BF"/>
          <w:sz w:val="26"/>
          <w:szCs w:val="26"/>
        </w:rPr>
      </w:pPr>
      <w:r w:rsidRPr="00C01D04">
        <w:rPr>
          <w:rFonts w:ascii="Cambria" w:hAnsi="Cambria"/>
          <w:color w:val="2E74B5" w:themeColor="accent1" w:themeShade="BF"/>
          <w:sz w:val="26"/>
          <w:szCs w:val="26"/>
        </w:rPr>
        <w:t>Request for Quotation</w:t>
      </w:r>
    </w:p>
    <w:tbl>
      <w:tblPr>
        <w:tblW w:w="5968" w:type="pct"/>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1"/>
        <w:gridCol w:w="8459"/>
      </w:tblGrid>
      <w:tr w:rsidR="007E59B3" w:rsidRPr="00DC4E7D" w14:paraId="74E6D284" w14:textId="77777777" w:rsidTr="00AB4BCA">
        <w:trPr>
          <w:trHeight w:val="350"/>
        </w:trPr>
        <w:tc>
          <w:tcPr>
            <w:tcW w:w="1210" w:type="pct"/>
          </w:tcPr>
          <w:p w14:paraId="4032212A" w14:textId="77777777" w:rsidR="007E59B3" w:rsidRPr="00DC4E7D" w:rsidRDefault="007E59B3" w:rsidP="009734C6">
            <w:pPr>
              <w:pStyle w:val="ListParagraph"/>
              <w:numPr>
                <w:ilvl w:val="0"/>
                <w:numId w:val="15"/>
              </w:numPr>
              <w:spacing w:after="0" w:line="240" w:lineRule="auto"/>
              <w:ind w:left="342" w:hanging="342"/>
            </w:pPr>
            <w:r w:rsidRPr="00DC4E7D">
              <w:t xml:space="preserve">General Instructions to </w:t>
            </w:r>
            <w:r w:rsidR="00EF0879" w:rsidRPr="00DC4E7D">
              <w:t>Bidders</w:t>
            </w:r>
          </w:p>
        </w:tc>
        <w:tc>
          <w:tcPr>
            <w:tcW w:w="3790" w:type="pct"/>
          </w:tcPr>
          <w:p w14:paraId="3488DEC8" w14:textId="2AB3ADA7" w:rsidR="008D3518" w:rsidRDefault="008D3518" w:rsidP="008D3518">
            <w:pPr>
              <w:pStyle w:val="ListParagraph"/>
              <w:numPr>
                <w:ilvl w:val="0"/>
                <w:numId w:val="21"/>
              </w:numPr>
              <w:spacing w:after="0" w:line="240" w:lineRule="auto"/>
            </w:pPr>
            <w:r>
              <w:t xml:space="preserve">Final quotations </w:t>
            </w:r>
            <w:r w:rsidRPr="00E55E3C">
              <w:t xml:space="preserve">are due by 4:00PM local time Kabul </w:t>
            </w:r>
            <w:r w:rsidRPr="00AC235D">
              <w:t xml:space="preserve">on </w:t>
            </w:r>
            <w:r w:rsidR="00AB4BCA" w:rsidRPr="00AC235D">
              <w:t>April 25</w:t>
            </w:r>
            <w:r w:rsidR="00434693" w:rsidRPr="00AC235D">
              <w:t>,</w:t>
            </w:r>
            <w:r w:rsidR="008F57A0" w:rsidRPr="00AC235D">
              <w:t xml:space="preserve"> 2020</w:t>
            </w:r>
            <w:r w:rsidRPr="00AC235D">
              <w:t>.</w:t>
            </w:r>
            <w:r w:rsidRPr="00E55E3C">
              <w:t xml:space="preserve"> Late offers will be rejected except</w:t>
            </w:r>
            <w:r w:rsidRPr="00131051">
              <w:t xml:space="preserve"> under</w:t>
            </w:r>
            <w:r>
              <w:t xml:space="preserve"> extraordinary circumstances at DAI’s discretion.</w:t>
            </w:r>
          </w:p>
          <w:p w14:paraId="01D75B34" w14:textId="459EC90F" w:rsidR="008D3518" w:rsidRDefault="008D3518" w:rsidP="008D3518">
            <w:pPr>
              <w:pStyle w:val="ListParagraph"/>
              <w:numPr>
                <w:ilvl w:val="0"/>
                <w:numId w:val="21"/>
              </w:numPr>
              <w:spacing w:after="0" w:line="240" w:lineRule="auto"/>
            </w:pPr>
            <w:r>
              <w:t xml:space="preserve">Bidders shall submit quotes electronically via email to </w:t>
            </w:r>
            <w:hyperlink r:id="rId10" w:history="1">
              <w:r w:rsidRPr="00C01D04">
                <w:rPr>
                  <w:b/>
                  <w:color w:val="2E74B5" w:themeColor="accent1" w:themeShade="BF"/>
                </w:rPr>
                <w:t>ProcurementRADP_East_Inbox@dai.com</w:t>
              </w:r>
            </w:hyperlink>
            <w:r>
              <w:t xml:space="preserve"> by the deadline. </w:t>
            </w:r>
          </w:p>
          <w:p w14:paraId="3DD28460" w14:textId="2CE5A1C5" w:rsidR="008D3518" w:rsidRDefault="008D3518" w:rsidP="008D3518">
            <w:pPr>
              <w:pStyle w:val="ListParagraph"/>
              <w:numPr>
                <w:ilvl w:val="0"/>
                <w:numId w:val="21"/>
              </w:numPr>
              <w:spacing w:after="0" w:line="240" w:lineRule="auto"/>
            </w:pPr>
            <w:r>
              <w:t>Bidders shall sign and date their quotation.</w:t>
            </w:r>
          </w:p>
          <w:p w14:paraId="502D3057" w14:textId="00C15E61" w:rsidR="008D3518" w:rsidRDefault="008D3518" w:rsidP="008D3518">
            <w:pPr>
              <w:pStyle w:val="ListParagraph"/>
              <w:numPr>
                <w:ilvl w:val="0"/>
                <w:numId w:val="21"/>
              </w:numPr>
              <w:spacing w:after="0" w:line="240" w:lineRule="auto"/>
            </w:pPr>
            <w:r>
              <w:t>Bidders shall complete Attachment A: Price Schedule template. Value Added Tax (VAT) shall be included in the total.</w:t>
            </w:r>
          </w:p>
          <w:p w14:paraId="70A465CD" w14:textId="1C447765" w:rsidR="008D3518" w:rsidRDefault="008D3518" w:rsidP="008D3518">
            <w:pPr>
              <w:pStyle w:val="ListParagraph"/>
              <w:numPr>
                <w:ilvl w:val="0"/>
                <w:numId w:val="21"/>
              </w:numPr>
              <w:spacing w:after="0" w:line="240" w:lineRule="auto"/>
            </w:pPr>
            <w:r>
              <w:t>These services are eligible for VAT exemption under the DAI.</w:t>
            </w:r>
          </w:p>
          <w:p w14:paraId="585FF92B" w14:textId="3EB702F2" w:rsidR="007E59B3" w:rsidRPr="00DC4E7D" w:rsidRDefault="008D3518" w:rsidP="008D3518">
            <w:pPr>
              <w:pStyle w:val="ListParagraph"/>
              <w:numPr>
                <w:ilvl w:val="0"/>
                <w:numId w:val="21"/>
              </w:numPr>
              <w:spacing w:after="0" w:line="240" w:lineRule="auto"/>
            </w:pPr>
            <w:r>
              <w:t>Offerors shall sign and date the Price Schedule, in lieu of a formal cover letter.</w:t>
            </w:r>
          </w:p>
        </w:tc>
      </w:tr>
      <w:tr w:rsidR="002C0C24" w:rsidRPr="00DC4E7D" w14:paraId="29278EA5" w14:textId="77777777" w:rsidTr="00AB4BCA">
        <w:trPr>
          <w:trHeight w:val="350"/>
        </w:trPr>
        <w:tc>
          <w:tcPr>
            <w:tcW w:w="1210" w:type="pct"/>
          </w:tcPr>
          <w:p w14:paraId="5627015F" w14:textId="77777777" w:rsidR="002C0C24" w:rsidRPr="00DC4E7D" w:rsidRDefault="007E59B3" w:rsidP="009734C6">
            <w:pPr>
              <w:pStyle w:val="ListParagraph"/>
              <w:numPr>
                <w:ilvl w:val="0"/>
                <w:numId w:val="15"/>
              </w:numPr>
              <w:spacing w:after="0" w:line="240" w:lineRule="auto"/>
              <w:ind w:left="342" w:hanging="342"/>
            </w:pPr>
            <w:r w:rsidRPr="00DC4E7D">
              <w:t xml:space="preserve">Questions Regarding </w:t>
            </w:r>
            <w:r w:rsidR="008C4DEE" w:rsidRPr="00DC4E7D">
              <w:t>the RFQ</w:t>
            </w:r>
          </w:p>
        </w:tc>
        <w:tc>
          <w:tcPr>
            <w:tcW w:w="3790" w:type="pct"/>
          </w:tcPr>
          <w:p w14:paraId="316C7740" w14:textId="0B7A6415" w:rsidR="002C0C24" w:rsidRPr="00DC4E7D" w:rsidRDefault="00FB6726" w:rsidP="009734C6">
            <w:pPr>
              <w:spacing w:after="0" w:line="240" w:lineRule="auto"/>
              <w:rPr>
                <w:highlight w:val="yellow"/>
              </w:rPr>
            </w:pPr>
            <w:r>
              <w:t>No q</w:t>
            </w:r>
            <w:r w:rsidR="008F6E8B" w:rsidRPr="00184CF0">
              <w:t xml:space="preserve">uestions </w:t>
            </w:r>
            <w:r>
              <w:t xml:space="preserve">will be responded </w:t>
            </w:r>
            <w:r w:rsidR="002C0C24" w:rsidRPr="00DC4E7D">
              <w:t xml:space="preserve">Each </w:t>
            </w:r>
            <w:r w:rsidR="00EF0879" w:rsidRPr="00DC4E7D">
              <w:t>Bidder</w:t>
            </w:r>
            <w:r w:rsidR="002C0C24" w:rsidRPr="00DC4E7D">
              <w:t xml:space="preserve"> is responsible for reading very carefully and understanding fully the terms and conditions of </w:t>
            </w:r>
            <w:r w:rsidR="008C4DEE" w:rsidRPr="00DC4E7D">
              <w:t>this RFQ</w:t>
            </w:r>
            <w:r w:rsidR="002C0C24" w:rsidRPr="00DC4E7D">
              <w:t>.  All communications regarding this solicitation are to be made solely through the Issuing Office and must be submitted via email or in writing delivered to the Issuing Office no later than the date specified above.  All questions received will be compiled and answered in writing</w:t>
            </w:r>
            <w:r w:rsidR="00EC6429" w:rsidRPr="00DC4E7D">
              <w:t xml:space="preserve"> and distributed to all interested </w:t>
            </w:r>
            <w:r w:rsidR="00EF0879" w:rsidRPr="00DC4E7D">
              <w:t>Bidder</w:t>
            </w:r>
            <w:r w:rsidR="00EC6429" w:rsidRPr="00DC4E7D">
              <w:t>s</w:t>
            </w:r>
            <w:r w:rsidR="002C0C24" w:rsidRPr="00DC4E7D">
              <w:t xml:space="preserve">.  </w:t>
            </w:r>
          </w:p>
        </w:tc>
      </w:tr>
      <w:tr w:rsidR="007E59B3" w:rsidRPr="00DC4E7D" w14:paraId="396A6E89" w14:textId="77777777" w:rsidTr="00AB4BCA">
        <w:tc>
          <w:tcPr>
            <w:tcW w:w="1210" w:type="pct"/>
          </w:tcPr>
          <w:p w14:paraId="6D9812DA" w14:textId="77777777" w:rsidR="007E59B3" w:rsidRPr="00DC4E7D" w:rsidRDefault="007E59B3" w:rsidP="009734C6">
            <w:pPr>
              <w:pStyle w:val="ListParagraph"/>
              <w:numPr>
                <w:ilvl w:val="0"/>
                <w:numId w:val="15"/>
              </w:numPr>
              <w:spacing w:after="0" w:line="240" w:lineRule="auto"/>
              <w:ind w:left="342" w:hanging="342"/>
            </w:pPr>
            <w:r w:rsidRPr="00DC4E7D">
              <w:t>Technical Specifications and requirements for Technical Acceptability</w:t>
            </w:r>
          </w:p>
        </w:tc>
        <w:tc>
          <w:tcPr>
            <w:tcW w:w="3790" w:type="pct"/>
            <w:shd w:val="clear" w:color="auto" w:fill="auto"/>
          </w:tcPr>
          <w:p w14:paraId="1A3AD6BA" w14:textId="77777777" w:rsidR="007E59B3" w:rsidRDefault="007E59B3" w:rsidP="00E55E3C">
            <w:pPr>
              <w:spacing w:after="0" w:line="240" w:lineRule="auto"/>
              <w:rPr>
                <w:rFonts w:cs="Calibri"/>
                <w:i/>
              </w:rPr>
            </w:pPr>
            <w:r w:rsidRPr="00E55E3C">
              <w:rPr>
                <w:rFonts w:cs="Calibri"/>
              </w:rPr>
              <w:t>Provide a detailed list of technical specifications or requirements</w:t>
            </w:r>
            <w:r w:rsidR="00BC6CDB" w:rsidRPr="00E55E3C">
              <w:rPr>
                <w:rFonts w:cs="Calibri"/>
              </w:rPr>
              <w:t xml:space="preserve"> for the services/goods to be </w:t>
            </w:r>
            <w:r w:rsidR="008D3518" w:rsidRPr="00E55E3C">
              <w:rPr>
                <w:rFonts w:cs="Calibri"/>
              </w:rPr>
              <w:t>provided</w:t>
            </w:r>
            <w:r w:rsidR="008D3518" w:rsidRPr="00536B5C">
              <w:rPr>
                <w:rFonts w:cs="Calibri"/>
              </w:rPr>
              <w:t>.</w:t>
            </w:r>
            <w:r w:rsidRPr="00536B5C">
              <w:rPr>
                <w:rFonts w:cs="Calibri"/>
              </w:rPr>
              <w:t xml:space="preserve"> </w:t>
            </w:r>
            <w:r w:rsidR="00131051" w:rsidRPr="00536B5C">
              <w:rPr>
                <w:rFonts w:cs="Calibri"/>
              </w:rPr>
              <w:t xml:space="preserve">See </w:t>
            </w:r>
            <w:r w:rsidR="00536B5C" w:rsidRPr="00536B5C">
              <w:rPr>
                <w:rFonts w:cs="Calibri"/>
              </w:rPr>
              <w:t>Attachment B</w:t>
            </w:r>
            <w:r w:rsidR="00E55E3C" w:rsidRPr="00536B5C">
              <w:rPr>
                <w:rFonts w:cs="Calibri"/>
              </w:rPr>
              <w:t xml:space="preserve"> ‘</w:t>
            </w:r>
            <w:r w:rsidR="00E55E3C" w:rsidRPr="00E55E3C">
              <w:rPr>
                <w:rFonts w:cs="Calibri"/>
                <w:i/>
              </w:rPr>
              <w:t>Detailed Technical Specifications</w:t>
            </w:r>
            <w:r w:rsidR="002D3B50">
              <w:rPr>
                <w:rFonts w:cs="Calibri"/>
                <w:i/>
              </w:rPr>
              <w:t>.</w:t>
            </w:r>
          </w:p>
          <w:p w14:paraId="7D33705C" w14:textId="1CC57E69" w:rsidR="002D3B50" w:rsidRPr="00E55E3C" w:rsidRDefault="002D3B50" w:rsidP="00E55E3C">
            <w:pPr>
              <w:spacing w:after="0" w:line="240" w:lineRule="auto"/>
            </w:pPr>
            <w:r w:rsidRPr="002D3B50">
              <w:rPr>
                <w:rFonts w:cs="Calibri"/>
                <w:highlight w:val="yellow"/>
              </w:rPr>
              <w:t>Vendor is required to fill attachment C past Performance</w:t>
            </w:r>
            <w:r>
              <w:rPr>
                <w:rFonts w:cs="Calibri"/>
              </w:rPr>
              <w:t>.</w:t>
            </w:r>
          </w:p>
        </w:tc>
      </w:tr>
      <w:tr w:rsidR="002C0C24" w:rsidRPr="00DC4E7D" w14:paraId="71394F10" w14:textId="77777777" w:rsidTr="00AB4BCA">
        <w:tc>
          <w:tcPr>
            <w:tcW w:w="1210" w:type="pct"/>
          </w:tcPr>
          <w:p w14:paraId="431F5403" w14:textId="77777777" w:rsidR="002C0C24" w:rsidRPr="006E7F8F" w:rsidRDefault="002C0C24" w:rsidP="009734C6">
            <w:pPr>
              <w:pStyle w:val="ListParagraph"/>
              <w:numPr>
                <w:ilvl w:val="0"/>
                <w:numId w:val="15"/>
              </w:numPr>
              <w:spacing w:after="0" w:line="240" w:lineRule="auto"/>
              <w:ind w:left="342" w:hanging="342"/>
            </w:pPr>
            <w:r w:rsidRPr="006E7F8F">
              <w:t>Determination of Responsibility</w:t>
            </w:r>
          </w:p>
        </w:tc>
        <w:tc>
          <w:tcPr>
            <w:tcW w:w="3790" w:type="pct"/>
          </w:tcPr>
          <w:p w14:paraId="23E6D38E" w14:textId="2E7A8EA6" w:rsidR="002C0C24" w:rsidRPr="006E7F8F" w:rsidRDefault="002C0C24" w:rsidP="009734C6">
            <w:pPr>
              <w:pStyle w:val="NoSpacing"/>
              <w:rPr>
                <w:rFonts w:cs="Calibri"/>
              </w:rPr>
            </w:pPr>
            <w:r w:rsidRPr="006E7F8F">
              <w:rPr>
                <w:rFonts w:cs="Calibri"/>
              </w:rPr>
              <w:t>DAI will not enter in</w:t>
            </w:r>
            <w:r w:rsidR="008C4DEE" w:rsidRPr="006E7F8F">
              <w:rPr>
                <w:rFonts w:cs="Calibri"/>
              </w:rPr>
              <w:t>to any type of agreement with a</w:t>
            </w:r>
            <w:r w:rsidRPr="006E7F8F">
              <w:rPr>
                <w:rFonts w:cs="Calibri"/>
              </w:rPr>
              <w:t xml:space="preserve"> </w:t>
            </w:r>
            <w:r w:rsidR="008C4DEE" w:rsidRPr="006E7F8F">
              <w:rPr>
                <w:rFonts w:cs="Calibri"/>
              </w:rPr>
              <w:t>vendor</w:t>
            </w:r>
            <w:r w:rsidRPr="006E7F8F">
              <w:rPr>
                <w:rFonts w:cs="Calibri"/>
              </w:rPr>
              <w:t xml:space="preserve"> prior to ensuring the </w:t>
            </w:r>
            <w:r w:rsidR="008C4DEE" w:rsidRPr="006E7F8F">
              <w:rPr>
                <w:rFonts w:cs="Calibri"/>
              </w:rPr>
              <w:t>vendor</w:t>
            </w:r>
            <w:r w:rsidRPr="006E7F8F">
              <w:rPr>
                <w:rFonts w:cs="Calibri"/>
              </w:rPr>
              <w:t xml:space="preserve">’s responsibility. When assessing </w:t>
            </w:r>
            <w:r w:rsidR="008D3518" w:rsidRPr="006E7F8F">
              <w:rPr>
                <w:rFonts w:cs="Calibri"/>
              </w:rPr>
              <w:t>a</w:t>
            </w:r>
            <w:r w:rsidRPr="006E7F8F">
              <w:rPr>
                <w:rFonts w:cs="Calibri"/>
              </w:rPr>
              <w:t xml:space="preserve"> </w:t>
            </w:r>
            <w:r w:rsidR="008C4DEE" w:rsidRPr="006E7F8F">
              <w:rPr>
                <w:rFonts w:cs="Calibri"/>
              </w:rPr>
              <w:t>vendor</w:t>
            </w:r>
            <w:r w:rsidRPr="006E7F8F">
              <w:rPr>
                <w:rFonts w:cs="Calibri"/>
              </w:rPr>
              <w:t>’s responsibility, the following factors are taken into consideration:</w:t>
            </w:r>
          </w:p>
          <w:p w14:paraId="694EA79B" w14:textId="77777777" w:rsidR="00BC5AAC" w:rsidRPr="006E7F8F" w:rsidRDefault="00BC5AAC" w:rsidP="00AB4BCA">
            <w:pPr>
              <w:pStyle w:val="ListParagraph"/>
              <w:numPr>
                <w:ilvl w:val="0"/>
                <w:numId w:val="41"/>
              </w:numPr>
              <w:tabs>
                <w:tab w:val="left" w:pos="360"/>
                <w:tab w:val="left" w:pos="1260"/>
                <w:tab w:val="left" w:pos="1890"/>
              </w:tabs>
              <w:autoSpaceDE w:val="0"/>
              <w:autoSpaceDN w:val="0"/>
              <w:adjustRightInd w:val="0"/>
              <w:spacing w:after="0" w:line="240" w:lineRule="auto"/>
              <w:rPr>
                <w:color w:val="000000"/>
              </w:rPr>
            </w:pPr>
            <w:r w:rsidRPr="006E7F8F">
              <w:rPr>
                <w:color w:val="000000"/>
              </w:rPr>
              <w:t>Provide copies of the required business licenses to operate in the host country.</w:t>
            </w:r>
          </w:p>
          <w:p w14:paraId="0980C7EB" w14:textId="54F05B63" w:rsidR="002C0C24" w:rsidRPr="00536B5C" w:rsidRDefault="002C0C24" w:rsidP="00AB4BCA">
            <w:pPr>
              <w:pStyle w:val="ListParagraph"/>
              <w:numPr>
                <w:ilvl w:val="0"/>
                <w:numId w:val="41"/>
              </w:numPr>
              <w:tabs>
                <w:tab w:val="left" w:pos="360"/>
                <w:tab w:val="left" w:pos="1260"/>
                <w:tab w:val="left" w:pos="1890"/>
              </w:tabs>
              <w:autoSpaceDE w:val="0"/>
              <w:autoSpaceDN w:val="0"/>
              <w:adjustRightInd w:val="0"/>
              <w:spacing w:after="0" w:line="240" w:lineRule="auto"/>
              <w:rPr>
                <w:color w:val="000000"/>
              </w:rPr>
            </w:pPr>
            <w:r w:rsidRPr="006E7F8F">
              <w:rPr>
                <w:color w:val="000000"/>
              </w:rPr>
              <w:t>Evidence of a DUNS number (explained below and ins</w:t>
            </w:r>
            <w:r w:rsidR="006A426E">
              <w:rPr>
                <w:color w:val="000000"/>
              </w:rPr>
              <w:t xml:space="preserve">tructions contained in </w:t>
            </w:r>
            <w:r w:rsidR="00AB4BCA">
              <w:rPr>
                <w:color w:val="000000"/>
              </w:rPr>
              <w:t>Attachment E</w:t>
            </w:r>
            <w:r w:rsidRPr="00536B5C">
              <w:rPr>
                <w:color w:val="000000"/>
              </w:rPr>
              <w:t>).</w:t>
            </w:r>
          </w:p>
          <w:p w14:paraId="2C823759" w14:textId="77777777" w:rsidR="00BC5AAC" w:rsidRPr="006E7F8F" w:rsidRDefault="002C0C24" w:rsidP="00AB4BCA">
            <w:pPr>
              <w:pStyle w:val="ListParagraph"/>
              <w:numPr>
                <w:ilvl w:val="0"/>
                <w:numId w:val="41"/>
              </w:numPr>
              <w:tabs>
                <w:tab w:val="left" w:pos="360"/>
                <w:tab w:val="left" w:pos="1260"/>
                <w:tab w:val="left" w:pos="1890"/>
              </w:tabs>
              <w:autoSpaceDE w:val="0"/>
              <w:autoSpaceDN w:val="0"/>
              <w:adjustRightInd w:val="0"/>
              <w:spacing w:after="0" w:line="240" w:lineRule="auto"/>
              <w:rPr>
                <w:color w:val="000000"/>
              </w:rPr>
            </w:pPr>
            <w:r w:rsidRPr="006E7F8F">
              <w:rPr>
                <w:color w:val="000000"/>
              </w:rPr>
              <w:t>The source, origin and nationality of the services are not from a Prohibited Country (explained below).</w:t>
            </w:r>
            <w:r w:rsidR="00BC5AAC" w:rsidRPr="006E7F8F">
              <w:rPr>
                <w:color w:val="000000"/>
              </w:rPr>
              <w:t xml:space="preserve"> </w:t>
            </w:r>
          </w:p>
          <w:p w14:paraId="2658E058" w14:textId="77777777" w:rsidR="008D3518" w:rsidRDefault="008D3518" w:rsidP="00AB4BCA">
            <w:pPr>
              <w:pStyle w:val="ListParagraph"/>
              <w:numPr>
                <w:ilvl w:val="0"/>
                <w:numId w:val="41"/>
              </w:numPr>
              <w:tabs>
                <w:tab w:val="left" w:pos="346"/>
                <w:tab w:val="left" w:pos="1260"/>
                <w:tab w:val="left" w:pos="1890"/>
              </w:tabs>
              <w:autoSpaceDE w:val="0"/>
              <w:autoSpaceDN w:val="0"/>
              <w:adjustRightInd w:val="0"/>
              <w:spacing w:after="0"/>
            </w:pPr>
            <w:r>
              <w:t>Having adequate financial resources to deliver goods or the ability to obtain financial resources.</w:t>
            </w:r>
          </w:p>
          <w:p w14:paraId="3AA34F35" w14:textId="77777777" w:rsidR="008D3518" w:rsidRDefault="008D3518" w:rsidP="00AB4BCA">
            <w:pPr>
              <w:pStyle w:val="ListParagraph"/>
              <w:numPr>
                <w:ilvl w:val="0"/>
                <w:numId w:val="41"/>
              </w:numPr>
              <w:tabs>
                <w:tab w:val="left" w:pos="346"/>
                <w:tab w:val="left" w:pos="1260"/>
                <w:tab w:val="left" w:pos="1890"/>
              </w:tabs>
              <w:autoSpaceDE w:val="0"/>
              <w:autoSpaceDN w:val="0"/>
              <w:adjustRightInd w:val="0"/>
              <w:spacing w:after="0"/>
            </w:pPr>
            <w:r>
              <w:t>Ability to comply with required or proposed delivery or performance schedules.</w:t>
            </w:r>
          </w:p>
          <w:p w14:paraId="262289C9" w14:textId="77777777" w:rsidR="008D3518" w:rsidRDefault="008D3518" w:rsidP="00AB4BCA">
            <w:pPr>
              <w:pStyle w:val="ListParagraph"/>
              <w:numPr>
                <w:ilvl w:val="0"/>
                <w:numId w:val="41"/>
              </w:numPr>
              <w:tabs>
                <w:tab w:val="left" w:pos="346"/>
                <w:tab w:val="left" w:pos="1260"/>
                <w:tab w:val="left" w:pos="1890"/>
              </w:tabs>
              <w:autoSpaceDE w:val="0"/>
              <w:autoSpaceDN w:val="0"/>
              <w:adjustRightInd w:val="0"/>
              <w:spacing w:after="0"/>
            </w:pPr>
            <w:r>
              <w:t>Have a satisfactory past performance record.</w:t>
            </w:r>
          </w:p>
          <w:p w14:paraId="160C9C38" w14:textId="159F2F91" w:rsidR="008D3518" w:rsidRDefault="008D3518" w:rsidP="00AB4BCA">
            <w:pPr>
              <w:pStyle w:val="ListParagraph"/>
              <w:numPr>
                <w:ilvl w:val="0"/>
                <w:numId w:val="41"/>
              </w:numPr>
              <w:tabs>
                <w:tab w:val="left" w:pos="346"/>
                <w:tab w:val="left" w:pos="1260"/>
                <w:tab w:val="left" w:pos="1890"/>
              </w:tabs>
              <w:autoSpaceDE w:val="0"/>
              <w:autoSpaceDN w:val="0"/>
              <w:adjustRightInd w:val="0"/>
              <w:spacing w:after="0"/>
            </w:pPr>
            <w:r>
              <w:t>Have a satisfactory record of integrity and business ethics.</w:t>
            </w:r>
          </w:p>
          <w:p w14:paraId="1A9214EC" w14:textId="5341C2DE" w:rsidR="002C0C24" w:rsidRPr="00131051" w:rsidRDefault="008D3518" w:rsidP="00AB4BCA">
            <w:pPr>
              <w:pStyle w:val="ListParagraph"/>
              <w:numPr>
                <w:ilvl w:val="0"/>
                <w:numId w:val="41"/>
              </w:numPr>
              <w:tabs>
                <w:tab w:val="left" w:pos="346"/>
                <w:tab w:val="left" w:pos="1260"/>
                <w:tab w:val="left" w:pos="1890"/>
              </w:tabs>
              <w:autoSpaceDE w:val="0"/>
              <w:autoSpaceDN w:val="0"/>
              <w:adjustRightInd w:val="0"/>
              <w:spacing w:after="0"/>
            </w:pPr>
            <w:r>
              <w:t>Be qualified and eligible to perform work under applicable laws and regulations.</w:t>
            </w:r>
          </w:p>
        </w:tc>
      </w:tr>
      <w:tr w:rsidR="002C0C24" w:rsidRPr="00DC4E7D" w14:paraId="5F034FF6" w14:textId="77777777" w:rsidTr="00AB4BCA">
        <w:tc>
          <w:tcPr>
            <w:tcW w:w="1210" w:type="pct"/>
          </w:tcPr>
          <w:p w14:paraId="3E9B14E5" w14:textId="77777777" w:rsidR="002C0C24" w:rsidRPr="00DC4E7D" w:rsidRDefault="002C0C24" w:rsidP="009734C6">
            <w:pPr>
              <w:pStyle w:val="ListParagraph"/>
              <w:numPr>
                <w:ilvl w:val="0"/>
                <w:numId w:val="15"/>
              </w:numPr>
              <w:spacing w:after="0" w:line="240" w:lineRule="auto"/>
              <w:ind w:left="342" w:hanging="342"/>
            </w:pPr>
            <w:r w:rsidRPr="00DC4E7D">
              <w:t>Geographic Code</w:t>
            </w:r>
          </w:p>
        </w:tc>
        <w:tc>
          <w:tcPr>
            <w:tcW w:w="3790" w:type="pct"/>
          </w:tcPr>
          <w:p w14:paraId="0BEE6508" w14:textId="082E88C4" w:rsidR="002C0C24" w:rsidRPr="00DC4E7D" w:rsidRDefault="002C0C24" w:rsidP="003D28CA">
            <w:pPr>
              <w:pStyle w:val="ListParagraph"/>
              <w:numPr>
                <w:ilvl w:val="0"/>
                <w:numId w:val="6"/>
              </w:numPr>
              <w:spacing w:after="0" w:line="240" w:lineRule="auto"/>
              <w:ind w:left="252" w:hanging="270"/>
            </w:pPr>
            <w:r w:rsidRPr="00DC4E7D">
              <w:t xml:space="preserve">Under the authorized geographic code for its contract DAI may only procure goods and services from Geographic Code 937: Goods and services from the United States, the cooperating country, and "Developing Countries" other than "Advanced Developing </w:t>
            </w:r>
            <w:r w:rsidR="00131051">
              <w:t>Countries</w:t>
            </w:r>
            <w:r w:rsidRPr="00DC4E7D">
              <w:t xml:space="preserve"> excluding prohibited countries. A list of the "Developing Countries" as well as "Advanced Developing Countries" can be found at: </w:t>
            </w:r>
            <w:hyperlink r:id="rId11" w:history="1">
              <w:r w:rsidRPr="00DC4E7D">
                <w:t>http://www.usaid.gov/policy/ads/300/310maa.pdf</w:t>
              </w:r>
            </w:hyperlink>
            <w:r w:rsidRPr="00DC4E7D">
              <w:t xml:space="preserve"> and </w:t>
            </w:r>
            <w:hyperlink r:id="rId12" w:history="1">
              <w:r w:rsidRPr="00DC4E7D">
                <w:t>http://www.usaid.gov/policy/ads/300/310mab.pdf</w:t>
              </w:r>
            </w:hyperlink>
            <w:r w:rsidRPr="00DC4E7D">
              <w:t xml:space="preserve"> respectively.</w:t>
            </w:r>
          </w:p>
          <w:p w14:paraId="3010ADDB" w14:textId="77777777" w:rsidR="002C0C24" w:rsidRPr="00DC4E7D" w:rsidRDefault="002C0C24" w:rsidP="009734C6">
            <w:pPr>
              <w:pStyle w:val="ListParagraph"/>
              <w:numPr>
                <w:ilvl w:val="0"/>
                <w:numId w:val="6"/>
              </w:numPr>
              <w:spacing w:after="0" w:line="240" w:lineRule="auto"/>
              <w:ind w:left="252" w:hanging="270"/>
            </w:pPr>
            <w:r w:rsidRPr="00DC4E7D">
              <w:t xml:space="preserve">DAI must verify the source, nationality and origin, of goods and services and ensure (to the fullest extent possible) that DAI does not procure any services from prohibited countries listed by the Office of Foreign Assets Control (OFAC) as sanctioned countries. </w:t>
            </w:r>
            <w:r w:rsidRPr="00DC4E7D">
              <w:lastRenderedPageBreak/>
              <w:t xml:space="preserve">The current list of countries under comprehensive sanctions include: Cuba, Iran, North Korea, Sudan, and Syria. DAI is prohibited from facilitating any transaction by a third party if that transaction would be prohibited if performed by DAI.  </w:t>
            </w:r>
          </w:p>
          <w:p w14:paraId="0AEA7125" w14:textId="77777777" w:rsidR="002C0C24" w:rsidRPr="00DC4E7D" w:rsidRDefault="002C0C24" w:rsidP="009734C6">
            <w:pPr>
              <w:pStyle w:val="ListParagraph"/>
              <w:numPr>
                <w:ilvl w:val="0"/>
                <w:numId w:val="6"/>
              </w:numPr>
              <w:spacing w:after="0" w:line="240" w:lineRule="auto"/>
              <w:ind w:left="252" w:hanging="270"/>
            </w:pPr>
            <w:r w:rsidRPr="00DC4E7D">
              <w:t xml:space="preserve">By submitting a </w:t>
            </w:r>
            <w:r w:rsidR="007C4557" w:rsidRPr="00DC4E7D">
              <w:t>quote</w:t>
            </w:r>
            <w:r w:rsidRPr="00DC4E7D">
              <w:t xml:space="preserve"> in response to this </w:t>
            </w:r>
            <w:r w:rsidR="007C4557" w:rsidRPr="00DC4E7D">
              <w:t>RFQ</w:t>
            </w:r>
            <w:r w:rsidR="00EF0879" w:rsidRPr="00DC4E7D">
              <w:t>, Bidders</w:t>
            </w:r>
            <w:r w:rsidRPr="00DC4E7D">
              <w:t xml:space="preserve"> confirm that they are not violating the Source and Nationality requirements and that the services comply with the Geographic Code and the exclusions for prohibited countries.</w:t>
            </w:r>
          </w:p>
        </w:tc>
      </w:tr>
      <w:tr w:rsidR="002C0C24" w:rsidRPr="00DC4E7D" w14:paraId="4975EE83" w14:textId="77777777" w:rsidTr="00AB4BCA">
        <w:tc>
          <w:tcPr>
            <w:tcW w:w="1210" w:type="pct"/>
          </w:tcPr>
          <w:p w14:paraId="1D1F8110" w14:textId="77777777" w:rsidR="002C0C24" w:rsidRPr="00DC4E7D" w:rsidRDefault="002C0C24" w:rsidP="009734C6">
            <w:pPr>
              <w:pStyle w:val="ListParagraph"/>
              <w:numPr>
                <w:ilvl w:val="0"/>
                <w:numId w:val="15"/>
              </w:numPr>
              <w:spacing w:after="0" w:line="240" w:lineRule="auto"/>
              <w:ind w:left="342" w:hanging="342"/>
            </w:pPr>
            <w:r w:rsidRPr="00DC4E7D">
              <w:lastRenderedPageBreak/>
              <w:t>Data Universal Numbering System (DUNS)</w:t>
            </w:r>
          </w:p>
        </w:tc>
        <w:tc>
          <w:tcPr>
            <w:tcW w:w="3790" w:type="pct"/>
          </w:tcPr>
          <w:p w14:paraId="5CA6FD7B" w14:textId="16E5ED0C" w:rsidR="002C0C24" w:rsidRPr="00131051" w:rsidRDefault="002C0C24" w:rsidP="009734C6">
            <w:pPr>
              <w:autoSpaceDE w:val="0"/>
              <w:autoSpaceDN w:val="0"/>
              <w:adjustRightInd w:val="0"/>
              <w:spacing w:before="120" w:after="0" w:line="240" w:lineRule="auto"/>
              <w:rPr>
                <w:b/>
                <w:i/>
              </w:rPr>
            </w:pPr>
            <w:r w:rsidRPr="00DC4E7D">
              <w:t xml:space="preserve">All U.S. and foreign organizations which receive first-tier </w:t>
            </w:r>
            <w:r w:rsidRPr="00131051">
              <w:t>subcontracts/ purchase orders with a value of $</w:t>
            </w:r>
            <w:r w:rsidR="00815C1E" w:rsidRPr="00131051">
              <w:t>30</w:t>
            </w:r>
            <w:r w:rsidRPr="00131051">
              <w:t>,000 and above are required to obtain a DUNS number prior to signing of the agreement</w:t>
            </w:r>
            <w:r w:rsidRPr="00131051">
              <w:rPr>
                <w:b/>
                <w:i/>
              </w:rPr>
              <w:t xml:space="preserve">.   Organizations are exempt from this requirement if the gross income received from all sources in the previous tax year was under $300,000. DAI requires that </w:t>
            </w:r>
            <w:r w:rsidR="00EF0879" w:rsidRPr="00131051">
              <w:rPr>
                <w:b/>
                <w:i/>
              </w:rPr>
              <w:t>Bidder</w:t>
            </w:r>
            <w:r w:rsidRPr="00131051">
              <w:rPr>
                <w:b/>
                <w:i/>
              </w:rPr>
              <w:t>s</w:t>
            </w:r>
            <w:r w:rsidR="00E71C79" w:rsidRPr="00131051">
              <w:rPr>
                <w:b/>
                <w:i/>
              </w:rPr>
              <w:t xml:space="preserve"> s</w:t>
            </w:r>
            <w:r w:rsidRPr="00131051">
              <w:rPr>
                <w:b/>
                <w:i/>
              </w:rPr>
              <w:t xml:space="preserve">ign the self-certification statement if the </w:t>
            </w:r>
            <w:r w:rsidR="00EF0879" w:rsidRPr="00131051">
              <w:rPr>
                <w:b/>
                <w:i/>
              </w:rPr>
              <w:t xml:space="preserve">Bidder </w:t>
            </w:r>
            <w:r w:rsidRPr="00131051">
              <w:rPr>
                <w:b/>
                <w:i/>
              </w:rPr>
              <w:t>claims exemption for this reason.</w:t>
            </w:r>
          </w:p>
          <w:p w14:paraId="0D573A25" w14:textId="0FBCB69B" w:rsidR="002C0C24" w:rsidRPr="00DC4E7D" w:rsidRDefault="002C0C24" w:rsidP="009734C6">
            <w:pPr>
              <w:autoSpaceDE w:val="0"/>
              <w:autoSpaceDN w:val="0"/>
              <w:adjustRightInd w:val="0"/>
              <w:spacing w:before="120" w:after="0" w:line="240" w:lineRule="auto"/>
            </w:pPr>
            <w:r w:rsidRPr="00DC4E7D">
              <w:t xml:space="preserve">For those required to obtain a DUNS number, </w:t>
            </w:r>
            <w:r w:rsidR="00536B5C">
              <w:t>use</w:t>
            </w:r>
            <w:r w:rsidRPr="00DC4E7D">
              <w:t xml:space="preserve"> </w:t>
            </w:r>
            <w:r w:rsidR="00536B5C" w:rsidRPr="00536B5C">
              <w:t>Attachment G</w:t>
            </w:r>
            <w:r w:rsidRPr="00DC4E7D">
              <w:t>: Instructions for Obtaining a DUNS Number.</w:t>
            </w:r>
          </w:p>
          <w:p w14:paraId="665E447A" w14:textId="0E628428" w:rsidR="002C0C24" w:rsidRPr="00DC4E7D" w:rsidRDefault="002C0C24" w:rsidP="009734C6">
            <w:pPr>
              <w:pStyle w:val="NoSpacing"/>
              <w:rPr>
                <w:rFonts w:cs="Calibri"/>
              </w:rPr>
            </w:pPr>
            <w:r w:rsidRPr="00536B5C">
              <w:t xml:space="preserve">For those not required to obtain a DUNS number, </w:t>
            </w:r>
            <w:r w:rsidR="00536B5C" w:rsidRPr="00536B5C">
              <w:t>use</w:t>
            </w:r>
            <w:r w:rsidRPr="00536B5C">
              <w:t xml:space="preserve"> </w:t>
            </w:r>
            <w:r w:rsidR="00536B5C" w:rsidRPr="00536B5C">
              <w:t>Attachment D</w:t>
            </w:r>
            <w:r w:rsidRPr="00DC4E7D">
              <w:t>: Self-Certification for Exemption from DUNS Requirement</w:t>
            </w:r>
          </w:p>
        </w:tc>
      </w:tr>
      <w:tr w:rsidR="003B094C" w:rsidRPr="00DC4E7D" w14:paraId="7477444C" w14:textId="77777777" w:rsidTr="00AB4BCA">
        <w:tc>
          <w:tcPr>
            <w:tcW w:w="1210" w:type="pct"/>
          </w:tcPr>
          <w:p w14:paraId="4C4BEA89" w14:textId="77777777" w:rsidR="003B094C" w:rsidRPr="00DC4E7D" w:rsidRDefault="003B094C" w:rsidP="009734C6">
            <w:pPr>
              <w:pStyle w:val="ListParagraph"/>
              <w:numPr>
                <w:ilvl w:val="0"/>
                <w:numId w:val="15"/>
              </w:numPr>
              <w:spacing w:after="0" w:line="240" w:lineRule="auto"/>
              <w:ind w:left="342" w:hanging="342"/>
            </w:pPr>
            <w:r w:rsidRPr="00DC4E7D">
              <w:t>Compliance with Terms and Conditions</w:t>
            </w:r>
          </w:p>
        </w:tc>
        <w:tc>
          <w:tcPr>
            <w:tcW w:w="3790" w:type="pct"/>
          </w:tcPr>
          <w:p w14:paraId="17716689" w14:textId="47917A88" w:rsidR="003B094C" w:rsidRPr="00DC4E7D" w:rsidRDefault="00EF0879" w:rsidP="009734C6">
            <w:pPr>
              <w:spacing w:after="0" w:line="240" w:lineRule="auto"/>
            </w:pPr>
            <w:r w:rsidRPr="00DC4E7D">
              <w:t xml:space="preserve">Bidder </w:t>
            </w:r>
            <w:r w:rsidR="00636156" w:rsidRPr="00DC4E7D">
              <w:t xml:space="preserve">shall be aware of the general terms and conditions for an award resulting from this </w:t>
            </w:r>
            <w:r w:rsidR="007C4557" w:rsidRPr="00DC4E7D">
              <w:t>RFQ</w:t>
            </w:r>
            <w:r w:rsidR="00636156" w:rsidRPr="00DC4E7D">
              <w:t xml:space="preserve">. The selected </w:t>
            </w:r>
            <w:r w:rsidRPr="00DC4E7D">
              <w:t xml:space="preserve">Bidder </w:t>
            </w:r>
            <w:r w:rsidR="00636156" w:rsidRPr="00DC4E7D">
              <w:t>shall comply with all Representations and Certifications of Compliance listed i</w:t>
            </w:r>
            <w:r w:rsidR="00636156" w:rsidRPr="00536B5C">
              <w:t xml:space="preserve">n </w:t>
            </w:r>
            <w:r w:rsidR="00536B5C" w:rsidRPr="00536B5C">
              <w:t>Attachment F</w:t>
            </w:r>
            <w:r w:rsidR="00636156" w:rsidRPr="00536B5C">
              <w:t>.</w:t>
            </w:r>
            <w:r w:rsidR="00636156" w:rsidRPr="00DC4E7D">
              <w:t xml:space="preserve"> </w:t>
            </w:r>
          </w:p>
        </w:tc>
      </w:tr>
      <w:tr w:rsidR="00CB525F" w:rsidRPr="00DC4E7D" w14:paraId="46FB3473" w14:textId="77777777" w:rsidTr="00AB4BCA">
        <w:tc>
          <w:tcPr>
            <w:tcW w:w="1210" w:type="pct"/>
          </w:tcPr>
          <w:p w14:paraId="1E841019" w14:textId="77777777" w:rsidR="00CB525F" w:rsidRPr="00DC4E7D" w:rsidRDefault="00CB525F" w:rsidP="009734C6">
            <w:pPr>
              <w:pStyle w:val="ListParagraph"/>
              <w:numPr>
                <w:ilvl w:val="0"/>
                <w:numId w:val="15"/>
              </w:numPr>
              <w:spacing w:after="0" w:line="240" w:lineRule="auto"/>
              <w:ind w:left="342" w:hanging="342"/>
            </w:pPr>
            <w:r w:rsidRPr="00DC4E7D">
              <w:t>Procurement Ethics</w:t>
            </w:r>
          </w:p>
        </w:tc>
        <w:tc>
          <w:tcPr>
            <w:tcW w:w="3790" w:type="pct"/>
          </w:tcPr>
          <w:p w14:paraId="4B6A458E" w14:textId="77777777" w:rsidR="00CB525F" w:rsidRPr="00DC4E7D" w:rsidRDefault="00CB525F" w:rsidP="009734C6">
            <w:pPr>
              <w:spacing w:after="0" w:line="240" w:lineRule="auto"/>
              <w:jc w:val="both"/>
              <w:rPr>
                <w:rFonts w:cs="Tms Rmn"/>
                <w:color w:val="000000"/>
              </w:rPr>
            </w:pPr>
            <w:r w:rsidRPr="00DC4E7D">
              <w:t xml:space="preserve">By submitting </w:t>
            </w:r>
            <w:proofErr w:type="gramStart"/>
            <w:r w:rsidRPr="00DC4E7D">
              <w:t>an</w:t>
            </w:r>
            <w:proofErr w:type="gramEnd"/>
            <w:r w:rsidRPr="00DC4E7D">
              <w:t xml:space="preserve"> </w:t>
            </w:r>
            <w:r w:rsidR="00EF0879" w:rsidRPr="00DC4E7D">
              <w:t>Bidder</w:t>
            </w:r>
            <w:r w:rsidRPr="00DC4E7D">
              <w:t xml:space="preserve">, </w:t>
            </w:r>
            <w:r w:rsidR="00EF0879" w:rsidRPr="00DC4E7D">
              <w:t xml:space="preserve">Bidders </w:t>
            </w:r>
            <w:r w:rsidRPr="00DC4E7D">
              <w:t xml:space="preserve">certify that they </w:t>
            </w:r>
            <w:r w:rsidRPr="00DC4E7D">
              <w:rPr>
                <w:rFonts w:cs="Tms Rmn"/>
                <w:color w:val="000000"/>
              </w:rPr>
              <w:t xml:space="preserve">have not/will not </w:t>
            </w:r>
            <w:r w:rsidRPr="00CE5B93">
              <w:rPr>
                <w:rFonts w:cs="Tms Rmn"/>
                <w:color w:val="000000"/>
              </w:rPr>
              <w:t xml:space="preserve">attempt to </w:t>
            </w:r>
            <w:r>
              <w:rPr>
                <w:rFonts w:cs="Tms Rmn"/>
                <w:color w:val="000000"/>
              </w:rPr>
              <w:t>bribe or</w:t>
            </w:r>
            <w:r w:rsidRPr="00CE5B93">
              <w:rPr>
                <w:rFonts w:cs="Tms Rmn"/>
                <w:color w:val="000000"/>
              </w:rPr>
              <w:t xml:space="preserve"> make any payments to DAI employees in return for </w:t>
            </w:r>
            <w:r w:rsidRPr="00DC4E7D">
              <w:rPr>
                <w:rFonts w:cs="Calibri"/>
                <w:color w:val="000000"/>
              </w:rPr>
              <w:t>preference</w:t>
            </w:r>
            <w:r w:rsidRPr="00DC4E7D">
              <w:rPr>
                <w:rFonts w:cs="Tms Rmn"/>
                <w:color w:val="000000"/>
              </w:rPr>
              <w:t xml:space="preserve">, nor have any payments with Terrorists, or groups supporting Terrorists, been attempted. </w:t>
            </w:r>
            <w:r w:rsidRPr="00DC4E7D">
              <w:t xml:space="preserve">Any such practice constitutes an unethical, illegal, and corrupt practice and either the </w:t>
            </w:r>
            <w:r w:rsidR="00EF0879" w:rsidRPr="00DC4E7D">
              <w:t xml:space="preserve">Bidders </w:t>
            </w:r>
            <w:r w:rsidRPr="00DC4E7D">
              <w:t>or the DAI staff may report violations to the Toll-Free Ethics and Compliance Anonymous Hotline at +1 855-603-6987, via the DAI website, or via email to FPI_hotline@dai.com.</w:t>
            </w:r>
          </w:p>
        </w:tc>
      </w:tr>
    </w:tbl>
    <w:p w14:paraId="2E17EDC7" w14:textId="77777777" w:rsidR="002C0C24" w:rsidRDefault="002C0C24" w:rsidP="002C0C24"/>
    <w:p w14:paraId="6709C880" w14:textId="77777777" w:rsidR="003F6C37" w:rsidRDefault="003F6C37" w:rsidP="003F6C37">
      <w:pPr>
        <w:pStyle w:val="Heading2"/>
        <w:numPr>
          <w:ilvl w:val="0"/>
          <w:numId w:val="0"/>
        </w:numPr>
        <w:rPr>
          <w:i w:val="0"/>
          <w:iCs/>
        </w:rPr>
        <w:sectPr w:rsidR="003F6C37" w:rsidSect="008F002B">
          <w:headerReference w:type="default" r:id="rId13"/>
          <w:pgSz w:w="12240" w:h="15840" w:code="1"/>
          <w:pgMar w:top="1440" w:right="1440" w:bottom="1440" w:left="1440" w:header="720" w:footer="720" w:gutter="0"/>
          <w:cols w:space="720"/>
          <w:docGrid w:linePitch="360"/>
        </w:sectPr>
      </w:pPr>
      <w:bookmarkStart w:id="0" w:name="_Toc335997475"/>
    </w:p>
    <w:p w14:paraId="7D5DD533" w14:textId="7F1DAB39" w:rsidR="00B55833" w:rsidRPr="00C01D04" w:rsidRDefault="007E59B3" w:rsidP="003F6C37">
      <w:pPr>
        <w:pStyle w:val="Heading2"/>
        <w:rPr>
          <w:i w:val="0"/>
          <w:iCs/>
          <w:color w:val="2E74B5" w:themeColor="accent1" w:themeShade="BF"/>
        </w:rPr>
      </w:pPr>
      <w:r w:rsidRPr="00C01D04">
        <w:rPr>
          <w:i w:val="0"/>
          <w:iCs/>
          <w:color w:val="2E74B5" w:themeColor="accent1" w:themeShade="BF"/>
        </w:rPr>
        <w:lastRenderedPageBreak/>
        <w:t>A</w:t>
      </w:r>
      <w:r w:rsidR="00EC6429" w:rsidRPr="00C01D04">
        <w:rPr>
          <w:i w:val="0"/>
          <w:iCs/>
          <w:color w:val="2E74B5" w:themeColor="accent1" w:themeShade="BF"/>
        </w:rPr>
        <w:t>ttachment A</w:t>
      </w:r>
      <w:r w:rsidR="008F002B" w:rsidRPr="00C01D04">
        <w:rPr>
          <w:i w:val="0"/>
          <w:iCs/>
          <w:color w:val="2E74B5" w:themeColor="accent1" w:themeShade="BF"/>
        </w:rPr>
        <w:t>: Price Schedule</w:t>
      </w:r>
      <w:bookmarkEnd w:id="0"/>
    </w:p>
    <w:p w14:paraId="303EB35A" w14:textId="2EA51DF8" w:rsidR="00E55E3C" w:rsidRPr="00E55E3C" w:rsidRDefault="00536B5C" w:rsidP="00E55E3C">
      <w:r>
        <w:t>Please refer to Attachment B</w:t>
      </w:r>
      <w:r w:rsidR="00E55E3C">
        <w:t xml:space="preserve"> </w:t>
      </w:r>
      <w:r w:rsidR="00E55E3C">
        <w:rPr>
          <w:i/>
        </w:rPr>
        <w:t xml:space="preserve">Detailed Technical Specifications </w:t>
      </w:r>
      <w:r w:rsidR="00E55E3C">
        <w:t>for more information regarding pricing, timing and</w:t>
      </w:r>
      <w:r>
        <w:t xml:space="preserve"> services required</w:t>
      </w:r>
      <w:r w:rsidR="00E55E3C">
        <w:t>.</w:t>
      </w:r>
    </w:p>
    <w:tbl>
      <w:tblPr>
        <w:tblStyle w:val="TableGrid"/>
        <w:tblW w:w="11070" w:type="dxa"/>
        <w:tblInd w:w="-815" w:type="dxa"/>
        <w:tblLook w:val="04A0" w:firstRow="1" w:lastRow="0" w:firstColumn="1" w:lastColumn="0" w:noHBand="0" w:noVBand="1"/>
      </w:tblPr>
      <w:tblGrid>
        <w:gridCol w:w="3213"/>
        <w:gridCol w:w="985"/>
        <w:gridCol w:w="634"/>
        <w:gridCol w:w="1198"/>
        <w:gridCol w:w="1260"/>
        <w:gridCol w:w="3780"/>
      </w:tblGrid>
      <w:tr w:rsidR="00E55E3C" w:rsidRPr="000C0DC7" w14:paraId="0AC9FC03" w14:textId="77777777" w:rsidTr="00B029D8">
        <w:tc>
          <w:tcPr>
            <w:tcW w:w="3213" w:type="dxa"/>
            <w:vAlign w:val="center"/>
          </w:tcPr>
          <w:p w14:paraId="5A7A234A" w14:textId="77777777" w:rsidR="00E55E3C" w:rsidRPr="0084524F" w:rsidRDefault="00E55E3C" w:rsidP="003D28CA">
            <w:pPr>
              <w:rPr>
                <w:rFonts w:asciiTheme="minorHAnsi" w:hAnsiTheme="minorHAnsi" w:cstheme="minorHAnsi"/>
                <w:b/>
                <w:color w:val="000000"/>
              </w:rPr>
            </w:pPr>
            <w:bookmarkStart w:id="1" w:name="_Hlk535760208"/>
            <w:r w:rsidRPr="0084524F">
              <w:rPr>
                <w:rFonts w:asciiTheme="minorHAnsi" w:hAnsiTheme="minorHAnsi" w:cstheme="minorHAnsi"/>
                <w:b/>
                <w:color w:val="000000"/>
              </w:rPr>
              <w:t>Items</w:t>
            </w:r>
          </w:p>
        </w:tc>
        <w:tc>
          <w:tcPr>
            <w:tcW w:w="985" w:type="dxa"/>
            <w:vAlign w:val="center"/>
          </w:tcPr>
          <w:p w14:paraId="1AA8C65F" w14:textId="77777777" w:rsidR="00E55E3C" w:rsidRPr="0084524F" w:rsidRDefault="00E55E3C" w:rsidP="003D28CA">
            <w:pPr>
              <w:rPr>
                <w:rFonts w:asciiTheme="minorHAnsi" w:hAnsiTheme="minorHAnsi" w:cstheme="minorHAnsi"/>
                <w:b/>
                <w:color w:val="000000"/>
              </w:rPr>
            </w:pPr>
            <w:r w:rsidRPr="0084524F">
              <w:rPr>
                <w:rFonts w:asciiTheme="minorHAnsi" w:hAnsiTheme="minorHAnsi" w:cstheme="minorHAnsi"/>
                <w:b/>
                <w:color w:val="000000"/>
              </w:rPr>
              <w:t>Unit</w:t>
            </w:r>
          </w:p>
        </w:tc>
        <w:tc>
          <w:tcPr>
            <w:tcW w:w="634" w:type="dxa"/>
            <w:vAlign w:val="center"/>
          </w:tcPr>
          <w:p w14:paraId="57CEE0FC" w14:textId="77777777" w:rsidR="00E55E3C" w:rsidRPr="0084524F" w:rsidRDefault="00E55E3C" w:rsidP="003D28CA">
            <w:pPr>
              <w:rPr>
                <w:rFonts w:asciiTheme="minorHAnsi" w:hAnsiTheme="minorHAnsi" w:cstheme="minorHAnsi"/>
                <w:b/>
                <w:color w:val="000000"/>
              </w:rPr>
            </w:pPr>
            <w:proofErr w:type="spellStart"/>
            <w:r w:rsidRPr="0084524F">
              <w:rPr>
                <w:rFonts w:asciiTheme="minorHAnsi" w:hAnsiTheme="minorHAnsi" w:cstheme="minorHAnsi"/>
                <w:b/>
                <w:color w:val="000000"/>
              </w:rPr>
              <w:t>Qty</w:t>
            </w:r>
            <w:proofErr w:type="spellEnd"/>
          </w:p>
        </w:tc>
        <w:tc>
          <w:tcPr>
            <w:tcW w:w="1198" w:type="dxa"/>
            <w:vAlign w:val="center"/>
          </w:tcPr>
          <w:p w14:paraId="3699FF69" w14:textId="77777777" w:rsidR="00E55E3C" w:rsidRPr="0084524F" w:rsidRDefault="00E55E3C" w:rsidP="003D28CA">
            <w:pPr>
              <w:rPr>
                <w:rFonts w:asciiTheme="minorHAnsi" w:hAnsiTheme="minorHAnsi" w:cstheme="minorHAnsi"/>
                <w:b/>
                <w:color w:val="000000"/>
              </w:rPr>
            </w:pPr>
            <w:r w:rsidRPr="0084524F">
              <w:rPr>
                <w:rFonts w:asciiTheme="minorHAnsi" w:hAnsiTheme="minorHAnsi" w:cstheme="minorHAnsi"/>
                <w:b/>
                <w:color w:val="000000"/>
              </w:rPr>
              <w:t>Unit Cost (AFN)</w:t>
            </w:r>
          </w:p>
        </w:tc>
        <w:tc>
          <w:tcPr>
            <w:tcW w:w="1260" w:type="dxa"/>
            <w:vAlign w:val="center"/>
          </w:tcPr>
          <w:p w14:paraId="4CE82D25" w14:textId="77777777" w:rsidR="00E55E3C" w:rsidRPr="0084524F" w:rsidRDefault="00E55E3C" w:rsidP="003D28CA">
            <w:pPr>
              <w:rPr>
                <w:rFonts w:asciiTheme="minorHAnsi" w:hAnsiTheme="minorHAnsi" w:cstheme="minorHAnsi"/>
                <w:b/>
                <w:color w:val="000000"/>
              </w:rPr>
            </w:pPr>
            <w:r w:rsidRPr="0084524F">
              <w:rPr>
                <w:rFonts w:asciiTheme="minorHAnsi" w:hAnsiTheme="minorHAnsi" w:cstheme="minorHAnsi"/>
                <w:b/>
                <w:color w:val="000000"/>
              </w:rPr>
              <w:t>Total Cost (AFN)</w:t>
            </w:r>
          </w:p>
        </w:tc>
        <w:tc>
          <w:tcPr>
            <w:tcW w:w="3780" w:type="dxa"/>
          </w:tcPr>
          <w:p w14:paraId="0218C1A8" w14:textId="77777777" w:rsidR="00E55E3C" w:rsidRPr="0084524F" w:rsidRDefault="00E55E3C" w:rsidP="003D28CA">
            <w:pPr>
              <w:rPr>
                <w:rFonts w:asciiTheme="minorHAnsi" w:hAnsiTheme="minorHAnsi" w:cstheme="minorHAnsi"/>
                <w:b/>
                <w:color w:val="000000"/>
              </w:rPr>
            </w:pPr>
            <w:r w:rsidRPr="0084524F">
              <w:rPr>
                <w:rFonts w:asciiTheme="minorHAnsi" w:hAnsiTheme="minorHAnsi" w:cstheme="minorHAnsi"/>
                <w:b/>
                <w:color w:val="000000"/>
              </w:rPr>
              <w:t>Remarks</w:t>
            </w:r>
          </w:p>
        </w:tc>
      </w:tr>
      <w:tr w:rsidR="00AB4BCA" w:rsidRPr="000C0DC7" w14:paraId="76757AD2" w14:textId="77777777" w:rsidTr="00B029D8">
        <w:trPr>
          <w:trHeight w:val="1611"/>
        </w:trPr>
        <w:tc>
          <w:tcPr>
            <w:tcW w:w="3213" w:type="dxa"/>
          </w:tcPr>
          <w:p w14:paraId="25CE9767" w14:textId="7358C00A" w:rsidR="00AB4BCA" w:rsidRPr="00B029D8" w:rsidRDefault="00AB4BCA" w:rsidP="003D28CA">
            <w:pPr>
              <w:rPr>
                <w:color w:val="000000"/>
              </w:rPr>
            </w:pPr>
            <w:r w:rsidRPr="00B029D8">
              <w:rPr>
                <w:color w:val="000000"/>
              </w:rPr>
              <w:t>Registration of Domain Name and Web-Hosting (.com)</w:t>
            </w:r>
          </w:p>
        </w:tc>
        <w:tc>
          <w:tcPr>
            <w:tcW w:w="985" w:type="dxa"/>
          </w:tcPr>
          <w:p w14:paraId="019306BD" w14:textId="77777777" w:rsidR="00AB4BCA" w:rsidRPr="00B029D8" w:rsidRDefault="00AB4BCA" w:rsidP="003D28CA">
            <w:pPr>
              <w:rPr>
                <w:color w:val="000000"/>
              </w:rPr>
            </w:pPr>
            <w:r w:rsidRPr="00B029D8">
              <w:rPr>
                <w:color w:val="000000"/>
              </w:rPr>
              <w:t>Each</w:t>
            </w:r>
          </w:p>
        </w:tc>
        <w:tc>
          <w:tcPr>
            <w:tcW w:w="634" w:type="dxa"/>
          </w:tcPr>
          <w:p w14:paraId="00763C9B" w14:textId="77777777" w:rsidR="00AB4BCA" w:rsidRPr="00B029D8" w:rsidRDefault="00AB4BCA" w:rsidP="003D28CA">
            <w:pPr>
              <w:rPr>
                <w:color w:val="000000"/>
              </w:rPr>
            </w:pPr>
            <w:r w:rsidRPr="00B029D8">
              <w:rPr>
                <w:color w:val="000000"/>
              </w:rPr>
              <w:t>1</w:t>
            </w:r>
          </w:p>
        </w:tc>
        <w:tc>
          <w:tcPr>
            <w:tcW w:w="1198" w:type="dxa"/>
          </w:tcPr>
          <w:p w14:paraId="52FFC5C6" w14:textId="77777777" w:rsidR="00AB4BCA" w:rsidRPr="00B029D8" w:rsidRDefault="00AB4BCA" w:rsidP="003D28CA">
            <w:pPr>
              <w:rPr>
                <w:color w:val="000000"/>
              </w:rPr>
            </w:pPr>
          </w:p>
        </w:tc>
        <w:tc>
          <w:tcPr>
            <w:tcW w:w="1260" w:type="dxa"/>
          </w:tcPr>
          <w:p w14:paraId="39531C80" w14:textId="77777777" w:rsidR="00AB4BCA" w:rsidRPr="0084524F" w:rsidRDefault="00AB4BCA" w:rsidP="003D28CA">
            <w:pPr>
              <w:rPr>
                <w:rFonts w:asciiTheme="minorHAnsi" w:hAnsiTheme="minorHAnsi" w:cstheme="minorHAnsi"/>
                <w:bCs/>
              </w:rPr>
            </w:pPr>
          </w:p>
        </w:tc>
        <w:tc>
          <w:tcPr>
            <w:tcW w:w="3780" w:type="dxa"/>
          </w:tcPr>
          <w:p w14:paraId="44792461" w14:textId="2311A016" w:rsidR="00AB4BCA" w:rsidRPr="0084524F" w:rsidRDefault="00AB4BCA" w:rsidP="00A27CCA">
            <w:pPr>
              <w:keepNext/>
              <w:keepLines/>
              <w:jc w:val="both"/>
              <w:rPr>
                <w:rFonts w:asciiTheme="minorHAnsi" w:hAnsiTheme="minorHAnsi" w:cstheme="minorHAnsi"/>
              </w:rPr>
            </w:pPr>
          </w:p>
        </w:tc>
      </w:tr>
      <w:tr w:rsidR="00A27CCA" w:rsidRPr="000C0DC7" w14:paraId="3D0DBC44" w14:textId="77777777" w:rsidTr="00B029D8">
        <w:trPr>
          <w:trHeight w:val="629"/>
        </w:trPr>
        <w:tc>
          <w:tcPr>
            <w:tcW w:w="3213" w:type="dxa"/>
          </w:tcPr>
          <w:p w14:paraId="796478CE" w14:textId="0C0C103F" w:rsidR="00A27CCA" w:rsidRPr="00B029D8" w:rsidRDefault="00A27CCA" w:rsidP="003D28CA">
            <w:pPr>
              <w:rPr>
                <w:color w:val="000000"/>
              </w:rPr>
            </w:pPr>
            <w:r w:rsidRPr="00B029D8">
              <w:rPr>
                <w:color w:val="000000"/>
              </w:rPr>
              <w:t>Registration of Domain Name and Web-Hosting (.</w:t>
            </w:r>
            <w:proofErr w:type="spellStart"/>
            <w:r w:rsidRPr="00B029D8">
              <w:rPr>
                <w:color w:val="000000"/>
              </w:rPr>
              <w:t>af</w:t>
            </w:r>
            <w:proofErr w:type="spellEnd"/>
            <w:r w:rsidRPr="00B029D8">
              <w:rPr>
                <w:color w:val="000000"/>
              </w:rPr>
              <w:t>)</w:t>
            </w:r>
          </w:p>
        </w:tc>
        <w:tc>
          <w:tcPr>
            <w:tcW w:w="985" w:type="dxa"/>
          </w:tcPr>
          <w:p w14:paraId="1E7B6283" w14:textId="37992A36" w:rsidR="00A27CCA" w:rsidRPr="00B029D8" w:rsidRDefault="00A27CCA" w:rsidP="003D28CA">
            <w:pPr>
              <w:rPr>
                <w:color w:val="000000"/>
              </w:rPr>
            </w:pPr>
            <w:r w:rsidRPr="00B029D8">
              <w:rPr>
                <w:color w:val="000000"/>
              </w:rPr>
              <w:t>Each</w:t>
            </w:r>
          </w:p>
        </w:tc>
        <w:tc>
          <w:tcPr>
            <w:tcW w:w="634" w:type="dxa"/>
          </w:tcPr>
          <w:p w14:paraId="7E7EEFD0" w14:textId="09F52107" w:rsidR="00A27CCA" w:rsidRPr="00B029D8" w:rsidRDefault="00A27CCA" w:rsidP="003D28CA">
            <w:pPr>
              <w:rPr>
                <w:color w:val="000000"/>
              </w:rPr>
            </w:pPr>
            <w:r w:rsidRPr="00B029D8">
              <w:rPr>
                <w:color w:val="000000"/>
              </w:rPr>
              <w:t>1</w:t>
            </w:r>
          </w:p>
        </w:tc>
        <w:tc>
          <w:tcPr>
            <w:tcW w:w="1198" w:type="dxa"/>
          </w:tcPr>
          <w:p w14:paraId="66C2EF8D" w14:textId="77777777" w:rsidR="00A27CCA" w:rsidRPr="00B029D8" w:rsidRDefault="00A27CCA" w:rsidP="003D28CA">
            <w:pPr>
              <w:rPr>
                <w:color w:val="000000"/>
              </w:rPr>
            </w:pPr>
          </w:p>
        </w:tc>
        <w:tc>
          <w:tcPr>
            <w:tcW w:w="1260" w:type="dxa"/>
            <w:tcBorders>
              <w:top w:val="single" w:sz="4" w:space="0" w:color="000000" w:themeColor="text1"/>
            </w:tcBorders>
          </w:tcPr>
          <w:p w14:paraId="5F6CF120" w14:textId="77777777" w:rsidR="00A27CCA" w:rsidRPr="0084524F" w:rsidRDefault="00A27CCA" w:rsidP="003D28CA">
            <w:pPr>
              <w:rPr>
                <w:rFonts w:asciiTheme="minorHAnsi" w:hAnsiTheme="minorHAnsi" w:cstheme="minorHAnsi"/>
                <w:bCs/>
              </w:rPr>
            </w:pPr>
          </w:p>
        </w:tc>
        <w:tc>
          <w:tcPr>
            <w:tcW w:w="3780" w:type="dxa"/>
            <w:tcBorders>
              <w:top w:val="single" w:sz="4" w:space="0" w:color="000000" w:themeColor="text1"/>
            </w:tcBorders>
          </w:tcPr>
          <w:p w14:paraId="716B50F5" w14:textId="77777777" w:rsidR="00A27CCA" w:rsidRPr="0084524F" w:rsidRDefault="00A27CCA" w:rsidP="003D28CA">
            <w:pPr>
              <w:keepNext/>
              <w:keepLines/>
              <w:jc w:val="both"/>
              <w:rPr>
                <w:rFonts w:asciiTheme="minorHAnsi" w:hAnsiTheme="minorHAnsi" w:cstheme="minorHAnsi"/>
              </w:rPr>
            </w:pPr>
          </w:p>
        </w:tc>
      </w:tr>
      <w:tr w:rsidR="00A27CCA" w:rsidRPr="000C0DC7" w14:paraId="3861E447" w14:textId="77777777" w:rsidTr="00B029D8">
        <w:trPr>
          <w:trHeight w:val="629"/>
        </w:trPr>
        <w:tc>
          <w:tcPr>
            <w:tcW w:w="3213" w:type="dxa"/>
          </w:tcPr>
          <w:p w14:paraId="69323773" w14:textId="77777777" w:rsidR="00AF723F" w:rsidRPr="00B029D8" w:rsidRDefault="00A27CCA" w:rsidP="00B57785">
            <w:pPr>
              <w:rPr>
                <w:color w:val="000000"/>
              </w:rPr>
            </w:pPr>
            <w:r w:rsidRPr="00B029D8">
              <w:rPr>
                <w:color w:val="000000"/>
              </w:rPr>
              <w:t xml:space="preserve">Website Designing and Adding Contents / Themes </w:t>
            </w:r>
            <w:r w:rsidR="00B57785" w:rsidRPr="00B029D8">
              <w:rPr>
                <w:color w:val="000000"/>
              </w:rPr>
              <w:t xml:space="preserve">(One Language (English) </w:t>
            </w:r>
            <w:r w:rsidRPr="00B029D8">
              <w:rPr>
                <w:color w:val="000000"/>
              </w:rPr>
              <w:t>and One-Day Training</w:t>
            </w:r>
            <w:r w:rsidR="00B57785" w:rsidRPr="00B029D8">
              <w:rPr>
                <w:color w:val="000000"/>
              </w:rPr>
              <w:t xml:space="preserve"> </w:t>
            </w:r>
          </w:p>
          <w:p w14:paraId="13F5C579" w14:textId="46863388" w:rsidR="00A27CCA" w:rsidRPr="00B029D8" w:rsidRDefault="00AF723F" w:rsidP="00B57785">
            <w:pPr>
              <w:rPr>
                <w:color w:val="000000"/>
              </w:rPr>
            </w:pPr>
            <w:r w:rsidRPr="00B029D8">
              <w:rPr>
                <w:color w:val="000000"/>
              </w:rPr>
              <w:t>The website will have basic template / contents of Home, About Us, Products / Services, Media, Projects / Partners and Contact Us</w:t>
            </w:r>
            <w:r w:rsidR="00B57785" w:rsidRPr="00B029D8">
              <w:rPr>
                <w:color w:val="000000"/>
              </w:rPr>
              <w:t xml:space="preserve"> </w:t>
            </w:r>
          </w:p>
        </w:tc>
        <w:tc>
          <w:tcPr>
            <w:tcW w:w="985" w:type="dxa"/>
          </w:tcPr>
          <w:p w14:paraId="56A57E1C" w14:textId="77777777" w:rsidR="00A27CCA" w:rsidRPr="00B029D8" w:rsidRDefault="00A27CCA" w:rsidP="003D28CA">
            <w:pPr>
              <w:rPr>
                <w:color w:val="000000"/>
              </w:rPr>
            </w:pPr>
            <w:r w:rsidRPr="00B029D8">
              <w:rPr>
                <w:color w:val="000000"/>
              </w:rPr>
              <w:t>Each</w:t>
            </w:r>
          </w:p>
        </w:tc>
        <w:tc>
          <w:tcPr>
            <w:tcW w:w="634" w:type="dxa"/>
          </w:tcPr>
          <w:p w14:paraId="25E3D922" w14:textId="77777777" w:rsidR="00A27CCA" w:rsidRPr="00B029D8" w:rsidRDefault="00A27CCA" w:rsidP="003D28CA">
            <w:pPr>
              <w:rPr>
                <w:color w:val="000000"/>
              </w:rPr>
            </w:pPr>
            <w:r w:rsidRPr="00B029D8">
              <w:rPr>
                <w:color w:val="000000"/>
              </w:rPr>
              <w:t>1</w:t>
            </w:r>
          </w:p>
        </w:tc>
        <w:tc>
          <w:tcPr>
            <w:tcW w:w="1198" w:type="dxa"/>
          </w:tcPr>
          <w:p w14:paraId="310DA27A" w14:textId="77777777" w:rsidR="00A27CCA" w:rsidRPr="00B029D8" w:rsidRDefault="00A27CCA" w:rsidP="003D28CA">
            <w:pPr>
              <w:rPr>
                <w:color w:val="000000"/>
              </w:rPr>
            </w:pPr>
          </w:p>
        </w:tc>
        <w:tc>
          <w:tcPr>
            <w:tcW w:w="1260" w:type="dxa"/>
            <w:tcBorders>
              <w:bottom w:val="single" w:sz="4" w:space="0" w:color="000000" w:themeColor="text1"/>
            </w:tcBorders>
          </w:tcPr>
          <w:p w14:paraId="731EF3D7" w14:textId="77777777" w:rsidR="00A27CCA" w:rsidRPr="0084524F" w:rsidRDefault="00A27CCA" w:rsidP="003D28CA">
            <w:pPr>
              <w:rPr>
                <w:rFonts w:asciiTheme="minorHAnsi" w:hAnsiTheme="minorHAnsi" w:cstheme="minorHAnsi"/>
                <w:bCs/>
              </w:rPr>
            </w:pPr>
          </w:p>
        </w:tc>
        <w:tc>
          <w:tcPr>
            <w:tcW w:w="3780" w:type="dxa"/>
            <w:tcBorders>
              <w:bottom w:val="single" w:sz="4" w:space="0" w:color="000000" w:themeColor="text1"/>
            </w:tcBorders>
          </w:tcPr>
          <w:p w14:paraId="057D70ED" w14:textId="2868D595" w:rsidR="00A27CCA" w:rsidRPr="00AF723F" w:rsidRDefault="00A27CCA" w:rsidP="00AF723F">
            <w:pPr>
              <w:keepNext/>
              <w:keepLines/>
              <w:jc w:val="both"/>
              <w:rPr>
                <w:rFonts w:asciiTheme="minorHAnsi" w:hAnsiTheme="minorHAnsi" w:cstheme="minorHAnsi"/>
              </w:rPr>
            </w:pPr>
          </w:p>
        </w:tc>
      </w:tr>
      <w:tr w:rsidR="00A27CCA" w:rsidRPr="000C0DC7" w14:paraId="5E47B3C6" w14:textId="77777777" w:rsidTr="00B029D8">
        <w:trPr>
          <w:trHeight w:val="629"/>
        </w:trPr>
        <w:tc>
          <w:tcPr>
            <w:tcW w:w="3213" w:type="dxa"/>
          </w:tcPr>
          <w:p w14:paraId="47E25AD3" w14:textId="1D3352E6" w:rsidR="00A27CCA" w:rsidRPr="00B029D8" w:rsidRDefault="00A27CCA" w:rsidP="00F37250">
            <w:pPr>
              <w:rPr>
                <w:color w:val="000000"/>
              </w:rPr>
            </w:pPr>
            <w:r w:rsidRPr="00B029D8">
              <w:rPr>
                <w:color w:val="000000"/>
              </w:rPr>
              <w:t xml:space="preserve">Website Designing and Adding Contents / Themes </w:t>
            </w:r>
            <w:r w:rsidR="00F37250" w:rsidRPr="00B029D8">
              <w:rPr>
                <w:color w:val="000000"/>
              </w:rPr>
              <w:t xml:space="preserve">Three </w:t>
            </w:r>
            <w:r w:rsidR="00B57785" w:rsidRPr="00B029D8">
              <w:rPr>
                <w:color w:val="000000"/>
              </w:rPr>
              <w:t xml:space="preserve">Languages (English + Pashto </w:t>
            </w:r>
            <w:r w:rsidR="00F37250" w:rsidRPr="00B029D8">
              <w:rPr>
                <w:color w:val="000000"/>
              </w:rPr>
              <w:t xml:space="preserve">+ </w:t>
            </w:r>
            <w:r w:rsidR="00B57785" w:rsidRPr="00B029D8">
              <w:rPr>
                <w:color w:val="000000"/>
              </w:rPr>
              <w:t xml:space="preserve">Dari) </w:t>
            </w:r>
            <w:r w:rsidRPr="00B029D8">
              <w:rPr>
                <w:color w:val="000000"/>
              </w:rPr>
              <w:t xml:space="preserve">and One-Day Training  </w:t>
            </w:r>
          </w:p>
        </w:tc>
        <w:tc>
          <w:tcPr>
            <w:tcW w:w="985" w:type="dxa"/>
          </w:tcPr>
          <w:p w14:paraId="51C32B51" w14:textId="7EBA9659" w:rsidR="00A27CCA" w:rsidRPr="00B029D8" w:rsidRDefault="00E97EC9" w:rsidP="003D28CA">
            <w:pPr>
              <w:rPr>
                <w:color w:val="000000"/>
              </w:rPr>
            </w:pPr>
            <w:r w:rsidRPr="00B029D8">
              <w:rPr>
                <w:color w:val="000000"/>
              </w:rPr>
              <w:t>Each</w:t>
            </w:r>
          </w:p>
        </w:tc>
        <w:tc>
          <w:tcPr>
            <w:tcW w:w="634" w:type="dxa"/>
          </w:tcPr>
          <w:p w14:paraId="47619406" w14:textId="5726E2FF" w:rsidR="00A27CCA" w:rsidRPr="00B029D8" w:rsidRDefault="00E97EC9" w:rsidP="003D28CA">
            <w:pPr>
              <w:rPr>
                <w:color w:val="000000"/>
              </w:rPr>
            </w:pPr>
            <w:r w:rsidRPr="00B029D8">
              <w:rPr>
                <w:color w:val="000000"/>
              </w:rPr>
              <w:t>1</w:t>
            </w:r>
          </w:p>
        </w:tc>
        <w:tc>
          <w:tcPr>
            <w:tcW w:w="1198" w:type="dxa"/>
          </w:tcPr>
          <w:p w14:paraId="05787C9B" w14:textId="77777777" w:rsidR="00A27CCA" w:rsidRPr="00B029D8" w:rsidRDefault="00A27CCA" w:rsidP="003D28CA">
            <w:pPr>
              <w:rPr>
                <w:color w:val="000000"/>
              </w:rPr>
            </w:pPr>
          </w:p>
        </w:tc>
        <w:tc>
          <w:tcPr>
            <w:tcW w:w="1260" w:type="dxa"/>
            <w:tcBorders>
              <w:top w:val="single" w:sz="4" w:space="0" w:color="000000" w:themeColor="text1"/>
            </w:tcBorders>
          </w:tcPr>
          <w:p w14:paraId="7A50F24A" w14:textId="77777777" w:rsidR="00A27CCA" w:rsidRPr="0084524F" w:rsidRDefault="00A27CCA" w:rsidP="003D28CA">
            <w:pPr>
              <w:rPr>
                <w:rFonts w:asciiTheme="minorHAnsi" w:hAnsiTheme="minorHAnsi" w:cstheme="minorHAnsi"/>
                <w:bCs/>
              </w:rPr>
            </w:pPr>
          </w:p>
        </w:tc>
        <w:tc>
          <w:tcPr>
            <w:tcW w:w="3780" w:type="dxa"/>
            <w:tcBorders>
              <w:top w:val="single" w:sz="4" w:space="0" w:color="000000" w:themeColor="text1"/>
            </w:tcBorders>
          </w:tcPr>
          <w:p w14:paraId="0E6BF2A1" w14:textId="77777777" w:rsidR="00A27CCA" w:rsidRPr="0084524F" w:rsidRDefault="00A27CCA" w:rsidP="00A27CCA">
            <w:pPr>
              <w:keepNext/>
              <w:keepLines/>
              <w:jc w:val="both"/>
              <w:rPr>
                <w:rFonts w:asciiTheme="minorHAnsi" w:hAnsiTheme="minorHAnsi" w:cstheme="minorHAnsi"/>
              </w:rPr>
            </w:pPr>
          </w:p>
        </w:tc>
      </w:tr>
      <w:tr w:rsidR="00E55E3C" w:rsidRPr="000C0DC7" w14:paraId="1E429097" w14:textId="77777777" w:rsidTr="00B029D8">
        <w:trPr>
          <w:trHeight w:val="440"/>
        </w:trPr>
        <w:tc>
          <w:tcPr>
            <w:tcW w:w="3213" w:type="dxa"/>
          </w:tcPr>
          <w:p w14:paraId="1E7F49C4" w14:textId="77777777" w:rsidR="00E55E3C" w:rsidRPr="00B029D8" w:rsidRDefault="00E55E3C" w:rsidP="003D28CA">
            <w:pPr>
              <w:rPr>
                <w:color w:val="000000"/>
              </w:rPr>
            </w:pPr>
            <w:r w:rsidRPr="00B029D8">
              <w:rPr>
                <w:color w:val="000000"/>
              </w:rPr>
              <w:t>Sub-Total</w:t>
            </w:r>
          </w:p>
        </w:tc>
        <w:tc>
          <w:tcPr>
            <w:tcW w:w="985" w:type="dxa"/>
          </w:tcPr>
          <w:p w14:paraId="143DB31B" w14:textId="77777777" w:rsidR="00E55E3C" w:rsidRPr="00B029D8" w:rsidRDefault="00E55E3C" w:rsidP="003D28CA">
            <w:pPr>
              <w:rPr>
                <w:color w:val="000000"/>
              </w:rPr>
            </w:pPr>
          </w:p>
        </w:tc>
        <w:tc>
          <w:tcPr>
            <w:tcW w:w="634" w:type="dxa"/>
          </w:tcPr>
          <w:p w14:paraId="1E0CD08D" w14:textId="77777777" w:rsidR="00E55E3C" w:rsidRPr="00B029D8" w:rsidRDefault="00E55E3C" w:rsidP="003D28CA">
            <w:pPr>
              <w:rPr>
                <w:color w:val="000000"/>
              </w:rPr>
            </w:pPr>
          </w:p>
        </w:tc>
        <w:tc>
          <w:tcPr>
            <w:tcW w:w="1198" w:type="dxa"/>
          </w:tcPr>
          <w:p w14:paraId="6CA97E79" w14:textId="77777777" w:rsidR="00E55E3C" w:rsidRPr="00B029D8" w:rsidRDefault="00E55E3C" w:rsidP="003D28CA">
            <w:pPr>
              <w:rPr>
                <w:color w:val="000000"/>
              </w:rPr>
            </w:pPr>
          </w:p>
        </w:tc>
        <w:tc>
          <w:tcPr>
            <w:tcW w:w="1260" w:type="dxa"/>
          </w:tcPr>
          <w:p w14:paraId="3D65CC36" w14:textId="77777777" w:rsidR="00E55E3C" w:rsidRPr="0084524F" w:rsidRDefault="00E55E3C" w:rsidP="003D28CA">
            <w:pPr>
              <w:rPr>
                <w:rFonts w:asciiTheme="minorHAnsi" w:hAnsiTheme="minorHAnsi" w:cstheme="minorHAnsi"/>
                <w:bCs/>
              </w:rPr>
            </w:pPr>
          </w:p>
        </w:tc>
        <w:tc>
          <w:tcPr>
            <w:tcW w:w="3780" w:type="dxa"/>
          </w:tcPr>
          <w:p w14:paraId="05580EF5" w14:textId="77777777" w:rsidR="00E55E3C" w:rsidRPr="0084524F" w:rsidRDefault="00E55E3C" w:rsidP="003D28CA">
            <w:pPr>
              <w:keepNext/>
              <w:keepLines/>
              <w:jc w:val="both"/>
              <w:rPr>
                <w:rFonts w:asciiTheme="minorHAnsi" w:hAnsiTheme="minorHAnsi" w:cstheme="minorHAnsi"/>
              </w:rPr>
            </w:pPr>
          </w:p>
        </w:tc>
      </w:tr>
      <w:tr w:rsidR="00A95697" w:rsidRPr="000C0DC7" w14:paraId="5269E168" w14:textId="77777777" w:rsidTr="00B029D8">
        <w:trPr>
          <w:trHeight w:val="629"/>
        </w:trPr>
        <w:tc>
          <w:tcPr>
            <w:tcW w:w="3213" w:type="dxa"/>
          </w:tcPr>
          <w:p w14:paraId="11891A41" w14:textId="1180314B" w:rsidR="00A95697" w:rsidRPr="00B029D8" w:rsidRDefault="00A95697" w:rsidP="00A95697">
            <w:pPr>
              <w:rPr>
                <w:color w:val="000000"/>
              </w:rPr>
            </w:pPr>
            <w:r w:rsidRPr="00B029D8">
              <w:rPr>
                <w:color w:val="000000"/>
              </w:rPr>
              <w:t>Branding strategy per Agribusiness/Trade</w:t>
            </w:r>
          </w:p>
        </w:tc>
        <w:tc>
          <w:tcPr>
            <w:tcW w:w="985" w:type="dxa"/>
          </w:tcPr>
          <w:p w14:paraId="53C0D7D9" w14:textId="0F1AB602" w:rsidR="00A95697" w:rsidRPr="00B029D8" w:rsidRDefault="00A95697" w:rsidP="00A95697">
            <w:pPr>
              <w:rPr>
                <w:color w:val="000000"/>
              </w:rPr>
            </w:pPr>
            <w:r w:rsidRPr="00B029D8">
              <w:rPr>
                <w:color w:val="000000"/>
              </w:rPr>
              <w:t>Each</w:t>
            </w:r>
          </w:p>
        </w:tc>
        <w:tc>
          <w:tcPr>
            <w:tcW w:w="634" w:type="dxa"/>
          </w:tcPr>
          <w:p w14:paraId="28258E6E" w14:textId="0EC52B8B" w:rsidR="00A95697" w:rsidRPr="00B029D8" w:rsidRDefault="00A95697" w:rsidP="00A95697">
            <w:pPr>
              <w:rPr>
                <w:color w:val="000000"/>
              </w:rPr>
            </w:pPr>
            <w:r w:rsidRPr="00B029D8">
              <w:rPr>
                <w:color w:val="000000"/>
              </w:rPr>
              <w:t>1</w:t>
            </w:r>
          </w:p>
        </w:tc>
        <w:tc>
          <w:tcPr>
            <w:tcW w:w="1198" w:type="dxa"/>
          </w:tcPr>
          <w:p w14:paraId="43D5C955" w14:textId="77777777" w:rsidR="00A95697" w:rsidRPr="00B029D8" w:rsidRDefault="00A95697" w:rsidP="00A95697">
            <w:pPr>
              <w:rPr>
                <w:color w:val="000000"/>
              </w:rPr>
            </w:pPr>
          </w:p>
        </w:tc>
        <w:tc>
          <w:tcPr>
            <w:tcW w:w="1260" w:type="dxa"/>
          </w:tcPr>
          <w:p w14:paraId="7B99A4A2" w14:textId="77777777" w:rsidR="00A95697" w:rsidRPr="0084524F" w:rsidRDefault="00A95697" w:rsidP="00A95697">
            <w:pPr>
              <w:rPr>
                <w:rFonts w:asciiTheme="minorHAnsi" w:hAnsiTheme="minorHAnsi" w:cstheme="minorHAnsi"/>
                <w:bCs/>
              </w:rPr>
            </w:pPr>
          </w:p>
        </w:tc>
        <w:tc>
          <w:tcPr>
            <w:tcW w:w="3780" w:type="dxa"/>
          </w:tcPr>
          <w:p w14:paraId="504DC420" w14:textId="77777777" w:rsidR="00A95697" w:rsidRPr="0084524F" w:rsidRDefault="00A95697" w:rsidP="00A95697">
            <w:pPr>
              <w:rPr>
                <w:rFonts w:asciiTheme="minorHAnsi" w:hAnsiTheme="minorHAnsi" w:cstheme="minorHAnsi"/>
                <w:bCs/>
              </w:rPr>
            </w:pPr>
          </w:p>
        </w:tc>
      </w:tr>
      <w:tr w:rsidR="00A95697" w:rsidRPr="000C0DC7" w14:paraId="564E2326" w14:textId="7FF0306F" w:rsidTr="00B029D8">
        <w:trPr>
          <w:trHeight w:val="629"/>
        </w:trPr>
        <w:tc>
          <w:tcPr>
            <w:tcW w:w="3213" w:type="dxa"/>
          </w:tcPr>
          <w:p w14:paraId="50523199" w14:textId="700D5DE9" w:rsidR="00A95697" w:rsidRPr="00B029D8" w:rsidRDefault="00A95697" w:rsidP="00A95697">
            <w:pPr>
              <w:rPr>
                <w:color w:val="000000"/>
              </w:rPr>
            </w:pPr>
            <w:r w:rsidRPr="00B029D8">
              <w:rPr>
                <w:color w:val="000000"/>
              </w:rPr>
              <w:t>Logo Design (Containing Graphics and Text)</w:t>
            </w:r>
          </w:p>
        </w:tc>
        <w:tc>
          <w:tcPr>
            <w:tcW w:w="985" w:type="dxa"/>
          </w:tcPr>
          <w:p w14:paraId="7C459072" w14:textId="53501F63" w:rsidR="00A95697" w:rsidRPr="00B029D8" w:rsidRDefault="00A95697" w:rsidP="00A95697">
            <w:pPr>
              <w:rPr>
                <w:color w:val="000000"/>
              </w:rPr>
            </w:pPr>
            <w:r w:rsidRPr="00B029D8">
              <w:rPr>
                <w:color w:val="000000"/>
              </w:rPr>
              <w:t>Each</w:t>
            </w:r>
          </w:p>
        </w:tc>
        <w:tc>
          <w:tcPr>
            <w:tcW w:w="634" w:type="dxa"/>
          </w:tcPr>
          <w:p w14:paraId="13C36BC3" w14:textId="45DF4DE4" w:rsidR="00A95697" w:rsidRPr="00B029D8" w:rsidRDefault="00A95697" w:rsidP="00A95697">
            <w:pPr>
              <w:rPr>
                <w:color w:val="000000"/>
              </w:rPr>
            </w:pPr>
            <w:r w:rsidRPr="00B029D8">
              <w:rPr>
                <w:color w:val="000000"/>
              </w:rPr>
              <w:t>1</w:t>
            </w:r>
          </w:p>
        </w:tc>
        <w:tc>
          <w:tcPr>
            <w:tcW w:w="1198" w:type="dxa"/>
          </w:tcPr>
          <w:p w14:paraId="4B09E58A" w14:textId="22BBFAE6" w:rsidR="00A95697" w:rsidRPr="00B029D8" w:rsidRDefault="00A95697" w:rsidP="00A95697">
            <w:pPr>
              <w:rPr>
                <w:color w:val="000000"/>
              </w:rPr>
            </w:pPr>
          </w:p>
        </w:tc>
        <w:tc>
          <w:tcPr>
            <w:tcW w:w="1260" w:type="dxa"/>
          </w:tcPr>
          <w:p w14:paraId="55B7C6D5" w14:textId="2094FF95" w:rsidR="00A95697" w:rsidRPr="0084524F" w:rsidRDefault="00A95697" w:rsidP="00A95697">
            <w:pPr>
              <w:rPr>
                <w:rFonts w:asciiTheme="minorHAnsi" w:hAnsiTheme="minorHAnsi" w:cstheme="minorHAnsi"/>
                <w:bCs/>
              </w:rPr>
            </w:pPr>
          </w:p>
        </w:tc>
        <w:tc>
          <w:tcPr>
            <w:tcW w:w="3780" w:type="dxa"/>
          </w:tcPr>
          <w:p w14:paraId="0653C235" w14:textId="0F1DA92F" w:rsidR="00A95697" w:rsidRPr="0084524F" w:rsidRDefault="00A95697" w:rsidP="00A95697">
            <w:pPr>
              <w:rPr>
                <w:rFonts w:asciiTheme="minorHAnsi" w:hAnsiTheme="minorHAnsi" w:cstheme="minorHAnsi"/>
                <w:bCs/>
              </w:rPr>
            </w:pPr>
          </w:p>
        </w:tc>
      </w:tr>
      <w:tr w:rsidR="00A95697" w:rsidRPr="000C0DC7" w14:paraId="26F14236" w14:textId="393D7E5E" w:rsidTr="00B029D8">
        <w:trPr>
          <w:trHeight w:val="386"/>
        </w:trPr>
        <w:tc>
          <w:tcPr>
            <w:tcW w:w="3213" w:type="dxa"/>
          </w:tcPr>
          <w:p w14:paraId="0EA755FB" w14:textId="7221B4EC" w:rsidR="00A95697" w:rsidRPr="00B029D8" w:rsidRDefault="00A95697" w:rsidP="00A95697">
            <w:pPr>
              <w:rPr>
                <w:color w:val="000000"/>
              </w:rPr>
            </w:pPr>
            <w:r w:rsidRPr="00B029D8">
              <w:rPr>
                <w:color w:val="000000"/>
              </w:rPr>
              <w:t>Label Design</w:t>
            </w:r>
          </w:p>
        </w:tc>
        <w:tc>
          <w:tcPr>
            <w:tcW w:w="985" w:type="dxa"/>
          </w:tcPr>
          <w:p w14:paraId="449A243F" w14:textId="726C9735" w:rsidR="00A95697" w:rsidRPr="00B029D8" w:rsidRDefault="00A95697" w:rsidP="00A95697">
            <w:pPr>
              <w:rPr>
                <w:color w:val="000000"/>
              </w:rPr>
            </w:pPr>
            <w:r w:rsidRPr="00B029D8">
              <w:rPr>
                <w:color w:val="000000"/>
              </w:rPr>
              <w:t>Each</w:t>
            </w:r>
          </w:p>
        </w:tc>
        <w:tc>
          <w:tcPr>
            <w:tcW w:w="634" w:type="dxa"/>
          </w:tcPr>
          <w:p w14:paraId="686D6937" w14:textId="3729AE40" w:rsidR="00A95697" w:rsidRPr="00B029D8" w:rsidRDefault="00A95697" w:rsidP="00A95697">
            <w:pPr>
              <w:rPr>
                <w:color w:val="000000"/>
              </w:rPr>
            </w:pPr>
            <w:r w:rsidRPr="00B029D8">
              <w:rPr>
                <w:color w:val="000000"/>
              </w:rPr>
              <w:t>1</w:t>
            </w:r>
          </w:p>
        </w:tc>
        <w:tc>
          <w:tcPr>
            <w:tcW w:w="1198" w:type="dxa"/>
          </w:tcPr>
          <w:p w14:paraId="486A4523" w14:textId="550EAFB4" w:rsidR="00A95697" w:rsidRPr="00B029D8" w:rsidRDefault="00A95697" w:rsidP="00A95697">
            <w:pPr>
              <w:rPr>
                <w:color w:val="000000"/>
              </w:rPr>
            </w:pPr>
          </w:p>
        </w:tc>
        <w:tc>
          <w:tcPr>
            <w:tcW w:w="1260" w:type="dxa"/>
          </w:tcPr>
          <w:p w14:paraId="2FEB279B" w14:textId="2F778028" w:rsidR="00A95697" w:rsidRPr="0084524F" w:rsidRDefault="00A95697" w:rsidP="00A95697">
            <w:pPr>
              <w:rPr>
                <w:rFonts w:asciiTheme="minorHAnsi" w:hAnsiTheme="minorHAnsi" w:cstheme="minorHAnsi"/>
                <w:bCs/>
              </w:rPr>
            </w:pPr>
          </w:p>
        </w:tc>
        <w:tc>
          <w:tcPr>
            <w:tcW w:w="3780" w:type="dxa"/>
          </w:tcPr>
          <w:p w14:paraId="6B5B419E" w14:textId="167C4A5D" w:rsidR="00A95697" w:rsidRPr="0084524F" w:rsidRDefault="00A95697" w:rsidP="00A95697">
            <w:pPr>
              <w:rPr>
                <w:rFonts w:asciiTheme="minorHAnsi" w:hAnsiTheme="minorHAnsi" w:cstheme="minorHAnsi"/>
                <w:bCs/>
              </w:rPr>
            </w:pPr>
          </w:p>
        </w:tc>
      </w:tr>
      <w:tr w:rsidR="00A95697" w:rsidRPr="000C0DC7" w14:paraId="20463B03" w14:textId="2AB46FA0" w:rsidTr="00B029D8">
        <w:tc>
          <w:tcPr>
            <w:tcW w:w="3213" w:type="dxa"/>
          </w:tcPr>
          <w:p w14:paraId="1085D62E" w14:textId="4D33978A" w:rsidR="00A95697" w:rsidRPr="00B029D8" w:rsidRDefault="00A95697" w:rsidP="00A95697">
            <w:pPr>
              <w:rPr>
                <w:color w:val="000000"/>
              </w:rPr>
            </w:pPr>
            <w:r w:rsidRPr="00B029D8">
              <w:rPr>
                <w:color w:val="000000"/>
              </w:rPr>
              <w:t>Business Card Design</w:t>
            </w:r>
          </w:p>
        </w:tc>
        <w:tc>
          <w:tcPr>
            <w:tcW w:w="985" w:type="dxa"/>
          </w:tcPr>
          <w:p w14:paraId="79765DE7" w14:textId="4C3EA973" w:rsidR="00A95697" w:rsidRPr="00B029D8" w:rsidRDefault="00A95697" w:rsidP="00A95697">
            <w:pPr>
              <w:rPr>
                <w:color w:val="000000"/>
              </w:rPr>
            </w:pPr>
            <w:r w:rsidRPr="00B029D8">
              <w:rPr>
                <w:color w:val="000000"/>
              </w:rPr>
              <w:t xml:space="preserve">Each </w:t>
            </w:r>
          </w:p>
        </w:tc>
        <w:tc>
          <w:tcPr>
            <w:tcW w:w="634" w:type="dxa"/>
          </w:tcPr>
          <w:p w14:paraId="4CFD53CA" w14:textId="23756D95" w:rsidR="00A95697" w:rsidRPr="00B029D8" w:rsidRDefault="00A95697" w:rsidP="00A95697">
            <w:pPr>
              <w:rPr>
                <w:color w:val="000000"/>
              </w:rPr>
            </w:pPr>
            <w:r w:rsidRPr="00B029D8">
              <w:rPr>
                <w:color w:val="000000"/>
              </w:rPr>
              <w:t>1</w:t>
            </w:r>
          </w:p>
        </w:tc>
        <w:tc>
          <w:tcPr>
            <w:tcW w:w="1198" w:type="dxa"/>
          </w:tcPr>
          <w:p w14:paraId="2D844360" w14:textId="6AF9A3F9" w:rsidR="00A95697" w:rsidRPr="00B029D8" w:rsidRDefault="00A95697" w:rsidP="00A95697">
            <w:pPr>
              <w:rPr>
                <w:color w:val="000000"/>
              </w:rPr>
            </w:pPr>
          </w:p>
        </w:tc>
        <w:tc>
          <w:tcPr>
            <w:tcW w:w="1260" w:type="dxa"/>
          </w:tcPr>
          <w:p w14:paraId="46198F4B" w14:textId="0614862A" w:rsidR="00A95697" w:rsidRPr="0084524F" w:rsidRDefault="00A95697" w:rsidP="00A95697">
            <w:pPr>
              <w:rPr>
                <w:rFonts w:asciiTheme="minorHAnsi" w:hAnsiTheme="minorHAnsi" w:cstheme="minorHAnsi"/>
                <w:bCs/>
              </w:rPr>
            </w:pPr>
          </w:p>
        </w:tc>
        <w:tc>
          <w:tcPr>
            <w:tcW w:w="3780" w:type="dxa"/>
          </w:tcPr>
          <w:p w14:paraId="5D9B0CC8" w14:textId="5C6BB2BA" w:rsidR="00A95697" w:rsidRPr="0084524F" w:rsidRDefault="00A95697" w:rsidP="00A95697">
            <w:pPr>
              <w:keepNext/>
              <w:keepLines/>
              <w:jc w:val="both"/>
              <w:rPr>
                <w:rFonts w:asciiTheme="minorHAnsi" w:hAnsiTheme="minorHAnsi" w:cstheme="minorHAnsi"/>
                <w:bCs/>
              </w:rPr>
            </w:pPr>
          </w:p>
        </w:tc>
      </w:tr>
      <w:tr w:rsidR="00A95697" w:rsidRPr="000C0DC7" w14:paraId="35C50872" w14:textId="211B2810" w:rsidTr="00B029D8">
        <w:tc>
          <w:tcPr>
            <w:tcW w:w="3213" w:type="dxa"/>
          </w:tcPr>
          <w:p w14:paraId="41529A36" w14:textId="7A078B7D" w:rsidR="00A95697" w:rsidRPr="00B029D8" w:rsidRDefault="00A95697" w:rsidP="00A95697">
            <w:pPr>
              <w:rPr>
                <w:color w:val="000000"/>
              </w:rPr>
            </w:pPr>
            <w:r w:rsidRPr="00B029D8">
              <w:rPr>
                <w:color w:val="000000"/>
              </w:rPr>
              <w:lastRenderedPageBreak/>
              <w:t>Stand Banner Design</w:t>
            </w:r>
          </w:p>
        </w:tc>
        <w:tc>
          <w:tcPr>
            <w:tcW w:w="985" w:type="dxa"/>
          </w:tcPr>
          <w:p w14:paraId="18F2E555" w14:textId="43A1D7A4" w:rsidR="00A95697" w:rsidRPr="00B029D8" w:rsidRDefault="00A95697" w:rsidP="00A95697">
            <w:pPr>
              <w:rPr>
                <w:color w:val="000000"/>
              </w:rPr>
            </w:pPr>
            <w:r w:rsidRPr="00B029D8">
              <w:rPr>
                <w:color w:val="000000"/>
              </w:rPr>
              <w:t>Each</w:t>
            </w:r>
          </w:p>
        </w:tc>
        <w:tc>
          <w:tcPr>
            <w:tcW w:w="634" w:type="dxa"/>
          </w:tcPr>
          <w:p w14:paraId="3954ADF1" w14:textId="063FD092" w:rsidR="00A95697" w:rsidRPr="00B029D8" w:rsidRDefault="00A95697" w:rsidP="00A95697">
            <w:pPr>
              <w:rPr>
                <w:color w:val="000000"/>
              </w:rPr>
            </w:pPr>
            <w:r w:rsidRPr="00B029D8">
              <w:rPr>
                <w:color w:val="000000"/>
              </w:rPr>
              <w:t>1</w:t>
            </w:r>
          </w:p>
        </w:tc>
        <w:tc>
          <w:tcPr>
            <w:tcW w:w="1198" w:type="dxa"/>
          </w:tcPr>
          <w:p w14:paraId="00A1DC02" w14:textId="593126B0" w:rsidR="00A95697" w:rsidRPr="0084524F" w:rsidRDefault="00A95697" w:rsidP="00A95697">
            <w:pPr>
              <w:rPr>
                <w:rFonts w:asciiTheme="minorHAnsi" w:hAnsiTheme="minorHAnsi" w:cstheme="minorHAnsi"/>
                <w:bCs/>
              </w:rPr>
            </w:pPr>
          </w:p>
        </w:tc>
        <w:tc>
          <w:tcPr>
            <w:tcW w:w="1260" w:type="dxa"/>
          </w:tcPr>
          <w:p w14:paraId="5C81E9F4" w14:textId="4DA609E0" w:rsidR="00A95697" w:rsidRPr="0084524F" w:rsidRDefault="00A95697" w:rsidP="00A95697">
            <w:pPr>
              <w:rPr>
                <w:rFonts w:asciiTheme="minorHAnsi" w:hAnsiTheme="minorHAnsi" w:cstheme="minorHAnsi"/>
                <w:bCs/>
              </w:rPr>
            </w:pPr>
          </w:p>
        </w:tc>
        <w:tc>
          <w:tcPr>
            <w:tcW w:w="3780" w:type="dxa"/>
          </w:tcPr>
          <w:p w14:paraId="7EF91C71" w14:textId="75D5AB57" w:rsidR="00A95697" w:rsidRPr="0084524F" w:rsidRDefault="00A95697" w:rsidP="00A95697">
            <w:pPr>
              <w:keepNext/>
              <w:keepLines/>
              <w:jc w:val="both"/>
              <w:rPr>
                <w:rFonts w:asciiTheme="minorHAnsi" w:hAnsiTheme="minorHAnsi" w:cstheme="minorHAnsi"/>
                <w:bCs/>
              </w:rPr>
            </w:pPr>
          </w:p>
        </w:tc>
      </w:tr>
      <w:tr w:rsidR="00A95697" w:rsidRPr="000C0DC7" w14:paraId="07A8CCFD" w14:textId="0845D728" w:rsidTr="00B029D8">
        <w:tc>
          <w:tcPr>
            <w:tcW w:w="3213" w:type="dxa"/>
          </w:tcPr>
          <w:p w14:paraId="62E1DEBE" w14:textId="73D7F04E" w:rsidR="00A95697" w:rsidRPr="00B029D8" w:rsidRDefault="00A95697" w:rsidP="00A95697">
            <w:pPr>
              <w:rPr>
                <w:color w:val="000000"/>
              </w:rPr>
            </w:pPr>
            <w:r w:rsidRPr="00B029D8">
              <w:rPr>
                <w:color w:val="000000"/>
              </w:rPr>
              <w:t>Flyer / Poster</w:t>
            </w:r>
          </w:p>
        </w:tc>
        <w:tc>
          <w:tcPr>
            <w:tcW w:w="985" w:type="dxa"/>
          </w:tcPr>
          <w:p w14:paraId="0E2B1D5B" w14:textId="3F4FCF35" w:rsidR="00A95697" w:rsidRPr="00B029D8" w:rsidRDefault="00A95697" w:rsidP="00A95697">
            <w:pPr>
              <w:rPr>
                <w:color w:val="000000"/>
              </w:rPr>
            </w:pPr>
            <w:r w:rsidRPr="00B029D8">
              <w:rPr>
                <w:color w:val="000000"/>
              </w:rPr>
              <w:t>Each</w:t>
            </w:r>
          </w:p>
        </w:tc>
        <w:tc>
          <w:tcPr>
            <w:tcW w:w="634" w:type="dxa"/>
          </w:tcPr>
          <w:p w14:paraId="2711E8FA" w14:textId="19C3F5D3" w:rsidR="00A95697" w:rsidRPr="00B029D8" w:rsidRDefault="00A95697" w:rsidP="00A95697">
            <w:pPr>
              <w:rPr>
                <w:color w:val="000000"/>
              </w:rPr>
            </w:pPr>
            <w:r w:rsidRPr="00B029D8">
              <w:rPr>
                <w:color w:val="000000"/>
              </w:rPr>
              <w:t>1</w:t>
            </w:r>
          </w:p>
        </w:tc>
        <w:tc>
          <w:tcPr>
            <w:tcW w:w="1198" w:type="dxa"/>
          </w:tcPr>
          <w:p w14:paraId="75238C25" w14:textId="0DBA6650" w:rsidR="00A95697" w:rsidRPr="0084524F" w:rsidRDefault="00A95697" w:rsidP="00A95697">
            <w:pPr>
              <w:rPr>
                <w:rFonts w:asciiTheme="minorHAnsi" w:hAnsiTheme="minorHAnsi" w:cstheme="minorHAnsi"/>
                <w:bCs/>
              </w:rPr>
            </w:pPr>
          </w:p>
        </w:tc>
        <w:tc>
          <w:tcPr>
            <w:tcW w:w="1260" w:type="dxa"/>
          </w:tcPr>
          <w:p w14:paraId="6FC452A9" w14:textId="42F3C98E" w:rsidR="00A95697" w:rsidRPr="0084524F" w:rsidRDefault="00A95697" w:rsidP="00A95697">
            <w:pPr>
              <w:rPr>
                <w:rFonts w:asciiTheme="minorHAnsi" w:hAnsiTheme="minorHAnsi" w:cstheme="minorHAnsi"/>
                <w:bCs/>
              </w:rPr>
            </w:pPr>
          </w:p>
        </w:tc>
        <w:tc>
          <w:tcPr>
            <w:tcW w:w="3780" w:type="dxa"/>
          </w:tcPr>
          <w:p w14:paraId="59A41AE6" w14:textId="1D8812CC" w:rsidR="00A95697" w:rsidRPr="0084524F" w:rsidRDefault="00A95697" w:rsidP="00A95697">
            <w:pPr>
              <w:keepNext/>
              <w:keepLines/>
              <w:jc w:val="both"/>
              <w:rPr>
                <w:rFonts w:asciiTheme="minorHAnsi" w:hAnsiTheme="minorHAnsi" w:cstheme="minorHAnsi"/>
                <w:bCs/>
              </w:rPr>
            </w:pPr>
          </w:p>
        </w:tc>
      </w:tr>
      <w:tr w:rsidR="00A95697" w:rsidRPr="000C0DC7" w14:paraId="0F1679AF" w14:textId="77777777" w:rsidTr="00B029D8">
        <w:tc>
          <w:tcPr>
            <w:tcW w:w="3213" w:type="dxa"/>
          </w:tcPr>
          <w:p w14:paraId="3642D676" w14:textId="1794D24C" w:rsidR="00A95697" w:rsidRPr="00B029D8" w:rsidRDefault="00A95697" w:rsidP="00A95697">
            <w:pPr>
              <w:rPr>
                <w:color w:val="000000"/>
              </w:rPr>
            </w:pPr>
            <w:r w:rsidRPr="00B029D8">
              <w:rPr>
                <w:color w:val="000000"/>
              </w:rPr>
              <w:t>Product and business activity professional photography for promotion purpose</w:t>
            </w:r>
          </w:p>
        </w:tc>
        <w:tc>
          <w:tcPr>
            <w:tcW w:w="985" w:type="dxa"/>
          </w:tcPr>
          <w:p w14:paraId="3D2A4103" w14:textId="429B6178" w:rsidR="00A95697" w:rsidRPr="00B029D8" w:rsidRDefault="00A95697" w:rsidP="00A95697">
            <w:pPr>
              <w:rPr>
                <w:color w:val="000000"/>
              </w:rPr>
            </w:pPr>
            <w:r w:rsidRPr="00B029D8">
              <w:rPr>
                <w:color w:val="000000"/>
              </w:rPr>
              <w:t>Each</w:t>
            </w:r>
          </w:p>
        </w:tc>
        <w:tc>
          <w:tcPr>
            <w:tcW w:w="634" w:type="dxa"/>
          </w:tcPr>
          <w:p w14:paraId="190CE942" w14:textId="5DF71641" w:rsidR="00A95697" w:rsidRPr="00B029D8" w:rsidRDefault="00A95697" w:rsidP="00A95697">
            <w:pPr>
              <w:rPr>
                <w:color w:val="000000"/>
              </w:rPr>
            </w:pPr>
            <w:r w:rsidRPr="00B029D8">
              <w:rPr>
                <w:color w:val="000000"/>
              </w:rPr>
              <w:t>1</w:t>
            </w:r>
          </w:p>
        </w:tc>
        <w:tc>
          <w:tcPr>
            <w:tcW w:w="1198" w:type="dxa"/>
          </w:tcPr>
          <w:p w14:paraId="1F5D424D" w14:textId="77777777" w:rsidR="00A95697" w:rsidRPr="0084524F" w:rsidRDefault="00A95697" w:rsidP="00A95697">
            <w:pPr>
              <w:rPr>
                <w:rFonts w:asciiTheme="minorHAnsi" w:hAnsiTheme="minorHAnsi" w:cstheme="minorHAnsi"/>
                <w:bCs/>
              </w:rPr>
            </w:pPr>
          </w:p>
        </w:tc>
        <w:tc>
          <w:tcPr>
            <w:tcW w:w="1260" w:type="dxa"/>
          </w:tcPr>
          <w:p w14:paraId="57C535B9" w14:textId="77777777" w:rsidR="00A95697" w:rsidRPr="0084524F" w:rsidRDefault="00A95697" w:rsidP="00A95697">
            <w:pPr>
              <w:rPr>
                <w:rFonts w:asciiTheme="minorHAnsi" w:hAnsiTheme="minorHAnsi" w:cstheme="minorHAnsi"/>
                <w:bCs/>
              </w:rPr>
            </w:pPr>
          </w:p>
        </w:tc>
        <w:tc>
          <w:tcPr>
            <w:tcW w:w="3780" w:type="dxa"/>
          </w:tcPr>
          <w:p w14:paraId="43AAEB6C" w14:textId="77777777" w:rsidR="00A95697" w:rsidRPr="0084524F" w:rsidRDefault="00A95697" w:rsidP="00A95697">
            <w:pPr>
              <w:keepNext/>
              <w:keepLines/>
              <w:jc w:val="both"/>
              <w:rPr>
                <w:rFonts w:asciiTheme="minorHAnsi" w:hAnsiTheme="minorHAnsi" w:cstheme="minorHAnsi"/>
                <w:bCs/>
              </w:rPr>
            </w:pPr>
          </w:p>
        </w:tc>
      </w:tr>
      <w:tr w:rsidR="00A95697" w:rsidRPr="000C0DC7" w14:paraId="12958B6E" w14:textId="77777777" w:rsidTr="00B029D8">
        <w:tc>
          <w:tcPr>
            <w:tcW w:w="3213" w:type="dxa"/>
          </w:tcPr>
          <w:p w14:paraId="4BD00D07" w14:textId="233007F0" w:rsidR="00A95697" w:rsidRPr="00B029D8" w:rsidRDefault="00A95697" w:rsidP="00A95697">
            <w:pPr>
              <w:rPr>
                <w:color w:val="000000"/>
              </w:rPr>
            </w:pPr>
            <w:r w:rsidRPr="00B029D8">
              <w:rPr>
                <w:color w:val="000000"/>
              </w:rPr>
              <w:t xml:space="preserve">Leaflet </w:t>
            </w:r>
          </w:p>
        </w:tc>
        <w:tc>
          <w:tcPr>
            <w:tcW w:w="985" w:type="dxa"/>
          </w:tcPr>
          <w:p w14:paraId="0790B005" w14:textId="3DD514AD" w:rsidR="00A95697" w:rsidRPr="00B029D8" w:rsidRDefault="00A95697" w:rsidP="00A95697">
            <w:pPr>
              <w:rPr>
                <w:color w:val="000000"/>
              </w:rPr>
            </w:pPr>
            <w:r w:rsidRPr="00B029D8">
              <w:rPr>
                <w:color w:val="000000"/>
              </w:rPr>
              <w:t>Each</w:t>
            </w:r>
          </w:p>
        </w:tc>
        <w:tc>
          <w:tcPr>
            <w:tcW w:w="634" w:type="dxa"/>
          </w:tcPr>
          <w:p w14:paraId="54BD6790" w14:textId="32870E96" w:rsidR="00A95697" w:rsidRPr="00B029D8" w:rsidRDefault="00A95697" w:rsidP="00A95697">
            <w:pPr>
              <w:rPr>
                <w:color w:val="000000"/>
              </w:rPr>
            </w:pPr>
            <w:r w:rsidRPr="00B029D8">
              <w:rPr>
                <w:color w:val="000000"/>
              </w:rPr>
              <w:t>1</w:t>
            </w:r>
          </w:p>
        </w:tc>
        <w:tc>
          <w:tcPr>
            <w:tcW w:w="1198" w:type="dxa"/>
          </w:tcPr>
          <w:p w14:paraId="013ADE8D" w14:textId="77777777" w:rsidR="00A95697" w:rsidRPr="0084524F" w:rsidRDefault="00A95697" w:rsidP="00A95697">
            <w:pPr>
              <w:rPr>
                <w:rFonts w:asciiTheme="minorHAnsi" w:hAnsiTheme="minorHAnsi" w:cstheme="minorHAnsi"/>
                <w:bCs/>
              </w:rPr>
            </w:pPr>
          </w:p>
        </w:tc>
        <w:tc>
          <w:tcPr>
            <w:tcW w:w="1260" w:type="dxa"/>
          </w:tcPr>
          <w:p w14:paraId="4A787587" w14:textId="77777777" w:rsidR="00A95697" w:rsidRPr="0084524F" w:rsidRDefault="00A95697" w:rsidP="00A95697">
            <w:pPr>
              <w:rPr>
                <w:rFonts w:asciiTheme="minorHAnsi" w:hAnsiTheme="minorHAnsi" w:cstheme="minorHAnsi"/>
                <w:bCs/>
              </w:rPr>
            </w:pPr>
          </w:p>
        </w:tc>
        <w:tc>
          <w:tcPr>
            <w:tcW w:w="3780" w:type="dxa"/>
          </w:tcPr>
          <w:p w14:paraId="0A419FA1" w14:textId="77777777" w:rsidR="00A95697" w:rsidRPr="0084524F" w:rsidRDefault="00A95697" w:rsidP="00A95697">
            <w:pPr>
              <w:keepNext/>
              <w:keepLines/>
              <w:jc w:val="both"/>
              <w:rPr>
                <w:rFonts w:asciiTheme="minorHAnsi" w:hAnsiTheme="minorHAnsi" w:cstheme="minorHAnsi"/>
                <w:bCs/>
              </w:rPr>
            </w:pPr>
          </w:p>
        </w:tc>
      </w:tr>
      <w:tr w:rsidR="00A95697" w:rsidRPr="000C0DC7" w14:paraId="1698BA82" w14:textId="77777777" w:rsidTr="00B029D8">
        <w:tc>
          <w:tcPr>
            <w:tcW w:w="3213" w:type="dxa"/>
          </w:tcPr>
          <w:p w14:paraId="24617F86" w14:textId="01CB5129" w:rsidR="00A95697" w:rsidRPr="00B029D8" w:rsidRDefault="00A95697" w:rsidP="00A95697">
            <w:pPr>
              <w:rPr>
                <w:color w:val="000000"/>
              </w:rPr>
            </w:pPr>
            <w:r w:rsidRPr="00B029D8">
              <w:rPr>
                <w:color w:val="000000"/>
              </w:rPr>
              <w:t xml:space="preserve">Product Catalogue </w:t>
            </w:r>
          </w:p>
        </w:tc>
        <w:tc>
          <w:tcPr>
            <w:tcW w:w="985" w:type="dxa"/>
          </w:tcPr>
          <w:p w14:paraId="4B65EAC8" w14:textId="67F6B4A8" w:rsidR="00A95697" w:rsidRPr="00B029D8" w:rsidRDefault="00A95697" w:rsidP="00A95697">
            <w:pPr>
              <w:rPr>
                <w:color w:val="000000"/>
              </w:rPr>
            </w:pPr>
            <w:r w:rsidRPr="00B029D8">
              <w:rPr>
                <w:color w:val="000000"/>
              </w:rPr>
              <w:t>Each</w:t>
            </w:r>
          </w:p>
        </w:tc>
        <w:tc>
          <w:tcPr>
            <w:tcW w:w="634" w:type="dxa"/>
          </w:tcPr>
          <w:p w14:paraId="1FECCFDA" w14:textId="7E7D8744" w:rsidR="00A95697" w:rsidRPr="00B029D8" w:rsidRDefault="00A95697" w:rsidP="00A95697">
            <w:pPr>
              <w:rPr>
                <w:color w:val="000000"/>
              </w:rPr>
            </w:pPr>
            <w:r w:rsidRPr="00B029D8">
              <w:rPr>
                <w:color w:val="000000"/>
              </w:rPr>
              <w:t>1</w:t>
            </w:r>
          </w:p>
        </w:tc>
        <w:tc>
          <w:tcPr>
            <w:tcW w:w="1198" w:type="dxa"/>
          </w:tcPr>
          <w:p w14:paraId="5AEEA5D3" w14:textId="77777777" w:rsidR="00A95697" w:rsidRPr="0084524F" w:rsidRDefault="00A95697" w:rsidP="00A95697">
            <w:pPr>
              <w:rPr>
                <w:rFonts w:asciiTheme="minorHAnsi" w:hAnsiTheme="minorHAnsi" w:cstheme="minorHAnsi"/>
                <w:bCs/>
              </w:rPr>
            </w:pPr>
          </w:p>
        </w:tc>
        <w:tc>
          <w:tcPr>
            <w:tcW w:w="1260" w:type="dxa"/>
          </w:tcPr>
          <w:p w14:paraId="105C825F" w14:textId="77777777" w:rsidR="00A95697" w:rsidRPr="0084524F" w:rsidRDefault="00A95697" w:rsidP="00A95697">
            <w:pPr>
              <w:rPr>
                <w:rFonts w:asciiTheme="minorHAnsi" w:hAnsiTheme="minorHAnsi" w:cstheme="minorHAnsi"/>
                <w:bCs/>
              </w:rPr>
            </w:pPr>
          </w:p>
        </w:tc>
        <w:tc>
          <w:tcPr>
            <w:tcW w:w="3780" w:type="dxa"/>
          </w:tcPr>
          <w:p w14:paraId="48022D82" w14:textId="58D6775D" w:rsidR="00A95697" w:rsidRPr="0084524F" w:rsidRDefault="00A95697" w:rsidP="00A95697">
            <w:pPr>
              <w:keepNext/>
              <w:keepLines/>
              <w:jc w:val="both"/>
              <w:rPr>
                <w:rFonts w:asciiTheme="minorHAnsi" w:hAnsiTheme="minorHAnsi" w:cstheme="minorHAnsi"/>
                <w:bCs/>
              </w:rPr>
            </w:pPr>
          </w:p>
        </w:tc>
      </w:tr>
      <w:tr w:rsidR="00A95697" w:rsidRPr="000C0DC7" w14:paraId="7D0BAD5D" w14:textId="679A36FA" w:rsidTr="00B029D8">
        <w:tc>
          <w:tcPr>
            <w:tcW w:w="3213" w:type="dxa"/>
          </w:tcPr>
          <w:p w14:paraId="71CCBACF" w14:textId="77751E28" w:rsidR="00A95697" w:rsidRPr="00B029D8" w:rsidRDefault="00A95697" w:rsidP="00A95697">
            <w:pPr>
              <w:rPr>
                <w:color w:val="000000"/>
              </w:rPr>
            </w:pPr>
            <w:r w:rsidRPr="00B029D8">
              <w:rPr>
                <w:color w:val="000000"/>
              </w:rPr>
              <w:t>Stamp Design</w:t>
            </w:r>
          </w:p>
        </w:tc>
        <w:tc>
          <w:tcPr>
            <w:tcW w:w="985" w:type="dxa"/>
          </w:tcPr>
          <w:p w14:paraId="56277A2E" w14:textId="6548845A" w:rsidR="00A95697" w:rsidRPr="00B029D8" w:rsidRDefault="00A95697" w:rsidP="00A95697">
            <w:pPr>
              <w:rPr>
                <w:color w:val="000000"/>
              </w:rPr>
            </w:pPr>
            <w:r w:rsidRPr="00B029D8">
              <w:rPr>
                <w:color w:val="000000"/>
              </w:rPr>
              <w:t>Each</w:t>
            </w:r>
          </w:p>
        </w:tc>
        <w:tc>
          <w:tcPr>
            <w:tcW w:w="634" w:type="dxa"/>
          </w:tcPr>
          <w:p w14:paraId="43870E9A" w14:textId="6AB73A76" w:rsidR="00A95697" w:rsidRPr="00B029D8" w:rsidRDefault="00A95697" w:rsidP="00A95697">
            <w:pPr>
              <w:rPr>
                <w:color w:val="000000"/>
              </w:rPr>
            </w:pPr>
            <w:r w:rsidRPr="00B029D8">
              <w:rPr>
                <w:color w:val="000000"/>
              </w:rPr>
              <w:t>1</w:t>
            </w:r>
          </w:p>
        </w:tc>
        <w:tc>
          <w:tcPr>
            <w:tcW w:w="1198" w:type="dxa"/>
          </w:tcPr>
          <w:p w14:paraId="2F480642" w14:textId="124AB190" w:rsidR="00A95697" w:rsidRPr="0084524F" w:rsidRDefault="00A95697" w:rsidP="00A95697">
            <w:pPr>
              <w:rPr>
                <w:rFonts w:asciiTheme="minorHAnsi" w:hAnsiTheme="minorHAnsi" w:cstheme="minorHAnsi"/>
                <w:bCs/>
              </w:rPr>
            </w:pPr>
          </w:p>
        </w:tc>
        <w:tc>
          <w:tcPr>
            <w:tcW w:w="1260" w:type="dxa"/>
          </w:tcPr>
          <w:p w14:paraId="7924E36C" w14:textId="568A9BFB" w:rsidR="00A95697" w:rsidRPr="0084524F" w:rsidRDefault="00A95697" w:rsidP="00A95697">
            <w:pPr>
              <w:rPr>
                <w:rFonts w:asciiTheme="minorHAnsi" w:hAnsiTheme="minorHAnsi" w:cstheme="minorHAnsi"/>
                <w:bCs/>
              </w:rPr>
            </w:pPr>
          </w:p>
        </w:tc>
        <w:tc>
          <w:tcPr>
            <w:tcW w:w="3780" w:type="dxa"/>
          </w:tcPr>
          <w:p w14:paraId="17359116" w14:textId="1E8ECEA4" w:rsidR="00A95697" w:rsidRPr="0084524F" w:rsidRDefault="00A95697" w:rsidP="00A95697">
            <w:pPr>
              <w:keepNext/>
              <w:keepLines/>
              <w:jc w:val="both"/>
              <w:rPr>
                <w:rFonts w:asciiTheme="minorHAnsi" w:hAnsiTheme="minorHAnsi" w:cstheme="minorHAnsi"/>
                <w:bCs/>
              </w:rPr>
            </w:pPr>
          </w:p>
        </w:tc>
      </w:tr>
      <w:tr w:rsidR="00A95697" w:rsidRPr="000C0DC7" w14:paraId="3FA6FC24" w14:textId="584D4C03" w:rsidTr="00B029D8">
        <w:tc>
          <w:tcPr>
            <w:tcW w:w="3213" w:type="dxa"/>
          </w:tcPr>
          <w:p w14:paraId="4406C7B7" w14:textId="73E5D108" w:rsidR="00A95697" w:rsidRPr="00B029D8" w:rsidRDefault="00A95697" w:rsidP="00A95697">
            <w:pPr>
              <w:rPr>
                <w:color w:val="000000"/>
              </w:rPr>
            </w:pPr>
            <w:r w:rsidRPr="00B029D8">
              <w:rPr>
                <w:color w:val="000000"/>
              </w:rPr>
              <w:t xml:space="preserve">Sign Board </w:t>
            </w:r>
          </w:p>
        </w:tc>
        <w:tc>
          <w:tcPr>
            <w:tcW w:w="985" w:type="dxa"/>
          </w:tcPr>
          <w:p w14:paraId="532885EE" w14:textId="24F9BEF4" w:rsidR="00A95697" w:rsidRPr="00B029D8" w:rsidRDefault="00A95697" w:rsidP="00A95697">
            <w:pPr>
              <w:rPr>
                <w:color w:val="000000"/>
              </w:rPr>
            </w:pPr>
            <w:r w:rsidRPr="00B029D8">
              <w:rPr>
                <w:color w:val="000000"/>
              </w:rPr>
              <w:t>Each</w:t>
            </w:r>
          </w:p>
        </w:tc>
        <w:tc>
          <w:tcPr>
            <w:tcW w:w="634" w:type="dxa"/>
          </w:tcPr>
          <w:p w14:paraId="54A6DC1E" w14:textId="7859C7D5" w:rsidR="00A95697" w:rsidRPr="00B029D8" w:rsidRDefault="00A95697" w:rsidP="00A95697">
            <w:pPr>
              <w:rPr>
                <w:color w:val="000000"/>
              </w:rPr>
            </w:pPr>
            <w:r w:rsidRPr="00B029D8">
              <w:rPr>
                <w:color w:val="000000"/>
              </w:rPr>
              <w:t>1</w:t>
            </w:r>
          </w:p>
        </w:tc>
        <w:tc>
          <w:tcPr>
            <w:tcW w:w="1198" w:type="dxa"/>
          </w:tcPr>
          <w:p w14:paraId="205750E1" w14:textId="2754395B" w:rsidR="00A95697" w:rsidRPr="0084524F" w:rsidRDefault="00A95697" w:rsidP="00A95697">
            <w:pPr>
              <w:rPr>
                <w:rFonts w:asciiTheme="minorHAnsi" w:hAnsiTheme="minorHAnsi" w:cstheme="minorHAnsi"/>
                <w:bCs/>
              </w:rPr>
            </w:pPr>
          </w:p>
        </w:tc>
        <w:tc>
          <w:tcPr>
            <w:tcW w:w="1260" w:type="dxa"/>
          </w:tcPr>
          <w:p w14:paraId="50C68361" w14:textId="65291F04" w:rsidR="00A95697" w:rsidRPr="0084524F" w:rsidRDefault="00A95697" w:rsidP="00A95697">
            <w:pPr>
              <w:rPr>
                <w:rFonts w:asciiTheme="minorHAnsi" w:hAnsiTheme="minorHAnsi" w:cstheme="minorHAnsi"/>
                <w:bCs/>
              </w:rPr>
            </w:pPr>
          </w:p>
        </w:tc>
        <w:tc>
          <w:tcPr>
            <w:tcW w:w="3780" w:type="dxa"/>
          </w:tcPr>
          <w:p w14:paraId="6AAB108E" w14:textId="7597B6D0" w:rsidR="00A95697" w:rsidRPr="0084524F" w:rsidRDefault="00A95697" w:rsidP="00A95697">
            <w:pPr>
              <w:keepNext/>
              <w:keepLines/>
              <w:jc w:val="both"/>
              <w:rPr>
                <w:rFonts w:asciiTheme="minorHAnsi" w:hAnsiTheme="minorHAnsi" w:cstheme="minorHAnsi"/>
                <w:bCs/>
              </w:rPr>
            </w:pPr>
          </w:p>
        </w:tc>
      </w:tr>
      <w:tr w:rsidR="00A95697" w:rsidRPr="000C0DC7" w14:paraId="6AAB7D55" w14:textId="77777777" w:rsidTr="00B029D8">
        <w:tc>
          <w:tcPr>
            <w:tcW w:w="3213" w:type="dxa"/>
          </w:tcPr>
          <w:p w14:paraId="103451B4" w14:textId="0690CF27" w:rsidR="00A95697" w:rsidRPr="00B029D8" w:rsidRDefault="00A95697" w:rsidP="00A95697">
            <w:pPr>
              <w:rPr>
                <w:color w:val="000000"/>
              </w:rPr>
            </w:pPr>
            <w:r w:rsidRPr="00B029D8">
              <w:rPr>
                <w:color w:val="000000"/>
              </w:rPr>
              <w:t>Letter head</w:t>
            </w:r>
          </w:p>
        </w:tc>
        <w:tc>
          <w:tcPr>
            <w:tcW w:w="985" w:type="dxa"/>
          </w:tcPr>
          <w:p w14:paraId="422F32F8" w14:textId="46145F74" w:rsidR="00A95697" w:rsidRPr="00B029D8" w:rsidRDefault="00A95697" w:rsidP="00A95697">
            <w:pPr>
              <w:rPr>
                <w:color w:val="000000"/>
              </w:rPr>
            </w:pPr>
            <w:r w:rsidRPr="00B029D8">
              <w:rPr>
                <w:color w:val="000000"/>
              </w:rPr>
              <w:t>Each</w:t>
            </w:r>
          </w:p>
        </w:tc>
        <w:tc>
          <w:tcPr>
            <w:tcW w:w="634" w:type="dxa"/>
          </w:tcPr>
          <w:p w14:paraId="27C31FFF" w14:textId="169EB2EB" w:rsidR="00A95697" w:rsidRPr="00B029D8" w:rsidRDefault="00A95697" w:rsidP="00A95697">
            <w:pPr>
              <w:rPr>
                <w:color w:val="000000"/>
              </w:rPr>
            </w:pPr>
            <w:r w:rsidRPr="00B029D8">
              <w:rPr>
                <w:color w:val="000000"/>
              </w:rPr>
              <w:t>1</w:t>
            </w:r>
          </w:p>
        </w:tc>
        <w:tc>
          <w:tcPr>
            <w:tcW w:w="1198" w:type="dxa"/>
          </w:tcPr>
          <w:p w14:paraId="03AF538E" w14:textId="77777777" w:rsidR="00A95697" w:rsidRPr="0084524F" w:rsidRDefault="00A95697" w:rsidP="00A95697">
            <w:pPr>
              <w:rPr>
                <w:rFonts w:asciiTheme="minorHAnsi" w:hAnsiTheme="minorHAnsi" w:cstheme="minorHAnsi"/>
                <w:bCs/>
              </w:rPr>
            </w:pPr>
          </w:p>
        </w:tc>
        <w:tc>
          <w:tcPr>
            <w:tcW w:w="1260" w:type="dxa"/>
          </w:tcPr>
          <w:p w14:paraId="782520DC" w14:textId="77777777" w:rsidR="00A95697" w:rsidRPr="0084524F" w:rsidRDefault="00A95697" w:rsidP="00A95697">
            <w:pPr>
              <w:rPr>
                <w:rFonts w:asciiTheme="minorHAnsi" w:hAnsiTheme="minorHAnsi" w:cstheme="minorHAnsi"/>
                <w:bCs/>
              </w:rPr>
            </w:pPr>
          </w:p>
        </w:tc>
        <w:tc>
          <w:tcPr>
            <w:tcW w:w="3780" w:type="dxa"/>
          </w:tcPr>
          <w:p w14:paraId="436A938E" w14:textId="77777777" w:rsidR="00A95697" w:rsidRPr="0084524F" w:rsidRDefault="00A95697" w:rsidP="00A95697">
            <w:pPr>
              <w:keepNext/>
              <w:keepLines/>
              <w:jc w:val="both"/>
              <w:rPr>
                <w:rFonts w:asciiTheme="minorHAnsi" w:hAnsiTheme="minorHAnsi" w:cstheme="minorHAnsi"/>
                <w:bCs/>
              </w:rPr>
            </w:pPr>
          </w:p>
        </w:tc>
      </w:tr>
      <w:tr w:rsidR="00A95697" w:rsidRPr="000C0DC7" w14:paraId="5B8FB462" w14:textId="77777777" w:rsidTr="00B029D8">
        <w:tc>
          <w:tcPr>
            <w:tcW w:w="3213" w:type="dxa"/>
          </w:tcPr>
          <w:p w14:paraId="723423DB" w14:textId="76C07D48" w:rsidR="00A95697" w:rsidRPr="00B029D8" w:rsidRDefault="00A95697" w:rsidP="00A95697">
            <w:pPr>
              <w:rPr>
                <w:color w:val="000000"/>
              </w:rPr>
            </w:pPr>
            <w:r w:rsidRPr="00B029D8">
              <w:rPr>
                <w:color w:val="000000"/>
              </w:rPr>
              <w:t>Product Package (Small)</w:t>
            </w:r>
          </w:p>
        </w:tc>
        <w:tc>
          <w:tcPr>
            <w:tcW w:w="985" w:type="dxa"/>
          </w:tcPr>
          <w:p w14:paraId="555082C4" w14:textId="10DB22D5" w:rsidR="00A95697" w:rsidRPr="00B029D8" w:rsidRDefault="00A95697" w:rsidP="00A95697">
            <w:pPr>
              <w:rPr>
                <w:color w:val="000000"/>
              </w:rPr>
            </w:pPr>
            <w:r w:rsidRPr="00B029D8">
              <w:rPr>
                <w:color w:val="000000"/>
              </w:rPr>
              <w:t>Each</w:t>
            </w:r>
          </w:p>
        </w:tc>
        <w:tc>
          <w:tcPr>
            <w:tcW w:w="634" w:type="dxa"/>
          </w:tcPr>
          <w:p w14:paraId="0CB57CF0" w14:textId="41D404B2" w:rsidR="00A95697" w:rsidRPr="00B029D8" w:rsidRDefault="00A95697" w:rsidP="00A95697">
            <w:pPr>
              <w:rPr>
                <w:color w:val="000000"/>
              </w:rPr>
            </w:pPr>
            <w:r w:rsidRPr="00B029D8">
              <w:rPr>
                <w:color w:val="000000"/>
              </w:rPr>
              <w:t>1</w:t>
            </w:r>
          </w:p>
        </w:tc>
        <w:tc>
          <w:tcPr>
            <w:tcW w:w="1198" w:type="dxa"/>
          </w:tcPr>
          <w:p w14:paraId="2986AD99" w14:textId="77777777" w:rsidR="00A95697" w:rsidRPr="0084524F" w:rsidRDefault="00A95697" w:rsidP="00A95697">
            <w:pPr>
              <w:rPr>
                <w:rFonts w:asciiTheme="minorHAnsi" w:hAnsiTheme="minorHAnsi" w:cstheme="minorHAnsi"/>
                <w:bCs/>
              </w:rPr>
            </w:pPr>
          </w:p>
        </w:tc>
        <w:tc>
          <w:tcPr>
            <w:tcW w:w="1260" w:type="dxa"/>
          </w:tcPr>
          <w:p w14:paraId="2EBE9914" w14:textId="77777777" w:rsidR="00A95697" w:rsidRPr="0084524F" w:rsidRDefault="00A95697" w:rsidP="00A95697">
            <w:pPr>
              <w:rPr>
                <w:rFonts w:asciiTheme="minorHAnsi" w:hAnsiTheme="minorHAnsi" w:cstheme="minorHAnsi"/>
                <w:bCs/>
              </w:rPr>
            </w:pPr>
          </w:p>
        </w:tc>
        <w:tc>
          <w:tcPr>
            <w:tcW w:w="3780" w:type="dxa"/>
          </w:tcPr>
          <w:p w14:paraId="61036D94" w14:textId="77777777" w:rsidR="00A95697" w:rsidRPr="0084524F" w:rsidRDefault="00A95697" w:rsidP="00A95697">
            <w:pPr>
              <w:keepNext/>
              <w:keepLines/>
              <w:jc w:val="both"/>
              <w:rPr>
                <w:rFonts w:asciiTheme="minorHAnsi" w:hAnsiTheme="minorHAnsi" w:cstheme="minorHAnsi"/>
                <w:bCs/>
              </w:rPr>
            </w:pPr>
          </w:p>
        </w:tc>
      </w:tr>
      <w:tr w:rsidR="00A95697" w:rsidRPr="000C0DC7" w14:paraId="4DC49226" w14:textId="5EF6311D" w:rsidTr="00B029D8">
        <w:tc>
          <w:tcPr>
            <w:tcW w:w="3213" w:type="dxa"/>
          </w:tcPr>
          <w:p w14:paraId="2C9191ED" w14:textId="6C4D29B3" w:rsidR="00A95697" w:rsidRPr="0084524F" w:rsidRDefault="00A95697" w:rsidP="00A95697">
            <w:pPr>
              <w:rPr>
                <w:rFonts w:asciiTheme="minorHAnsi" w:hAnsiTheme="minorHAnsi" w:cstheme="minorHAnsi"/>
                <w:color w:val="000000"/>
              </w:rPr>
            </w:pPr>
            <w:r w:rsidRPr="00B029D8">
              <w:rPr>
                <w:color w:val="000000"/>
              </w:rPr>
              <w:t>Product Carton</w:t>
            </w:r>
            <w:r w:rsidR="00AF723F" w:rsidRPr="00B029D8">
              <w:rPr>
                <w:color w:val="000000"/>
              </w:rPr>
              <w:t xml:space="preserve"> Please provide prices for various standard size/dimension of cartons “used for exporting” dried and fresh fruits.</w:t>
            </w:r>
          </w:p>
        </w:tc>
        <w:tc>
          <w:tcPr>
            <w:tcW w:w="985" w:type="dxa"/>
          </w:tcPr>
          <w:p w14:paraId="6797F744" w14:textId="14C0F0FD" w:rsidR="00A95697" w:rsidRPr="0084524F" w:rsidRDefault="00A95697" w:rsidP="00A95697">
            <w:pPr>
              <w:rPr>
                <w:rFonts w:asciiTheme="minorHAnsi" w:hAnsiTheme="minorHAnsi" w:cstheme="minorHAnsi"/>
                <w:color w:val="000000"/>
              </w:rPr>
            </w:pPr>
            <w:r w:rsidRPr="0084524F">
              <w:rPr>
                <w:rFonts w:asciiTheme="minorHAnsi" w:hAnsiTheme="minorHAnsi" w:cstheme="minorHAnsi"/>
                <w:color w:val="000000"/>
              </w:rPr>
              <w:t>Each</w:t>
            </w:r>
          </w:p>
        </w:tc>
        <w:tc>
          <w:tcPr>
            <w:tcW w:w="634" w:type="dxa"/>
          </w:tcPr>
          <w:p w14:paraId="4BF5DCCF" w14:textId="4EF743ED" w:rsidR="00A95697" w:rsidRPr="0084524F" w:rsidRDefault="00A95697" w:rsidP="00A95697">
            <w:pPr>
              <w:rPr>
                <w:rFonts w:asciiTheme="minorHAnsi" w:hAnsiTheme="minorHAnsi" w:cstheme="minorHAnsi"/>
                <w:color w:val="000000"/>
              </w:rPr>
            </w:pPr>
            <w:r w:rsidRPr="0084524F">
              <w:rPr>
                <w:rFonts w:asciiTheme="minorHAnsi" w:hAnsiTheme="minorHAnsi" w:cstheme="minorHAnsi"/>
                <w:color w:val="000000"/>
              </w:rPr>
              <w:t>1</w:t>
            </w:r>
          </w:p>
        </w:tc>
        <w:tc>
          <w:tcPr>
            <w:tcW w:w="1198" w:type="dxa"/>
          </w:tcPr>
          <w:p w14:paraId="3224BEFA" w14:textId="7EF5BA54" w:rsidR="00A95697" w:rsidRPr="0084524F" w:rsidRDefault="00A95697" w:rsidP="00A95697">
            <w:pPr>
              <w:rPr>
                <w:rFonts w:asciiTheme="minorHAnsi" w:hAnsiTheme="minorHAnsi" w:cstheme="minorHAnsi"/>
                <w:bCs/>
              </w:rPr>
            </w:pPr>
          </w:p>
        </w:tc>
        <w:tc>
          <w:tcPr>
            <w:tcW w:w="1260" w:type="dxa"/>
          </w:tcPr>
          <w:p w14:paraId="46BF4520" w14:textId="33FA238D" w:rsidR="00A95697" w:rsidRPr="0084524F" w:rsidRDefault="00A95697" w:rsidP="00A95697">
            <w:pPr>
              <w:rPr>
                <w:rFonts w:asciiTheme="minorHAnsi" w:hAnsiTheme="minorHAnsi" w:cstheme="minorHAnsi"/>
                <w:bCs/>
              </w:rPr>
            </w:pPr>
          </w:p>
        </w:tc>
        <w:tc>
          <w:tcPr>
            <w:tcW w:w="3780" w:type="dxa"/>
          </w:tcPr>
          <w:p w14:paraId="32CBC154" w14:textId="19911693" w:rsidR="00A95697" w:rsidRPr="0084524F" w:rsidRDefault="00A95697" w:rsidP="00A95697">
            <w:pPr>
              <w:keepNext/>
              <w:keepLines/>
              <w:jc w:val="both"/>
              <w:rPr>
                <w:rFonts w:asciiTheme="minorHAnsi" w:hAnsiTheme="minorHAnsi" w:cstheme="minorHAnsi"/>
                <w:bCs/>
              </w:rPr>
            </w:pPr>
          </w:p>
        </w:tc>
      </w:tr>
      <w:tr w:rsidR="00A95697" w:rsidRPr="000C0DC7" w14:paraId="21F6F072" w14:textId="28F979BD" w:rsidTr="00B029D8">
        <w:tc>
          <w:tcPr>
            <w:tcW w:w="3213" w:type="dxa"/>
          </w:tcPr>
          <w:p w14:paraId="0423C1C8" w14:textId="2448BD09" w:rsidR="00A95697" w:rsidRPr="005160E0" w:rsidRDefault="00A95697" w:rsidP="00A95697">
            <w:pPr>
              <w:rPr>
                <w:b/>
                <w:color w:val="000000"/>
              </w:rPr>
            </w:pPr>
            <w:r w:rsidRPr="005160E0">
              <w:rPr>
                <w:b/>
                <w:color w:val="000000"/>
              </w:rPr>
              <w:t>Sub-Total</w:t>
            </w:r>
          </w:p>
        </w:tc>
        <w:tc>
          <w:tcPr>
            <w:tcW w:w="985" w:type="dxa"/>
          </w:tcPr>
          <w:p w14:paraId="6ACDBAD2" w14:textId="1588D6B7" w:rsidR="00A95697" w:rsidRPr="005160E0" w:rsidRDefault="00A95697" w:rsidP="00A95697">
            <w:pPr>
              <w:rPr>
                <w:color w:val="000000"/>
              </w:rPr>
            </w:pPr>
          </w:p>
        </w:tc>
        <w:tc>
          <w:tcPr>
            <w:tcW w:w="634" w:type="dxa"/>
          </w:tcPr>
          <w:p w14:paraId="7184E7B9" w14:textId="3DA1F928" w:rsidR="00A95697" w:rsidRPr="005160E0" w:rsidRDefault="00A95697" w:rsidP="00A95697">
            <w:pPr>
              <w:rPr>
                <w:color w:val="000000"/>
              </w:rPr>
            </w:pPr>
          </w:p>
        </w:tc>
        <w:tc>
          <w:tcPr>
            <w:tcW w:w="1198" w:type="dxa"/>
          </w:tcPr>
          <w:p w14:paraId="12BA9188" w14:textId="09E042BC" w:rsidR="00A95697" w:rsidRPr="000C0DC7" w:rsidRDefault="00A95697" w:rsidP="00A95697">
            <w:pPr>
              <w:rPr>
                <w:rFonts w:ascii="Gill Sans MT" w:hAnsi="Gill Sans MT"/>
                <w:bCs/>
              </w:rPr>
            </w:pPr>
          </w:p>
        </w:tc>
        <w:tc>
          <w:tcPr>
            <w:tcW w:w="1260" w:type="dxa"/>
          </w:tcPr>
          <w:p w14:paraId="1A6DC27C" w14:textId="7B6CD98B" w:rsidR="00A95697" w:rsidRPr="000C0DC7" w:rsidRDefault="00A95697" w:rsidP="00A95697">
            <w:pPr>
              <w:rPr>
                <w:rFonts w:ascii="Gill Sans MT" w:hAnsi="Gill Sans MT"/>
                <w:bCs/>
              </w:rPr>
            </w:pPr>
          </w:p>
        </w:tc>
        <w:tc>
          <w:tcPr>
            <w:tcW w:w="3780" w:type="dxa"/>
          </w:tcPr>
          <w:p w14:paraId="7FCACBBC" w14:textId="19E2B2FE" w:rsidR="00A95697" w:rsidRPr="000C0DC7" w:rsidRDefault="00A95697" w:rsidP="00A95697">
            <w:pPr>
              <w:keepNext/>
              <w:keepLines/>
              <w:jc w:val="both"/>
              <w:rPr>
                <w:rFonts w:ascii="Gill Sans MT" w:hAnsi="Gill Sans MT"/>
                <w:bCs/>
              </w:rPr>
            </w:pPr>
          </w:p>
        </w:tc>
      </w:tr>
      <w:tr w:rsidR="00A95697" w:rsidRPr="000C0DC7" w14:paraId="6E49A42F" w14:textId="77777777" w:rsidTr="00B029D8">
        <w:tc>
          <w:tcPr>
            <w:tcW w:w="3213" w:type="dxa"/>
          </w:tcPr>
          <w:p w14:paraId="197316B7" w14:textId="77777777" w:rsidR="00A95697" w:rsidRPr="005160E0" w:rsidRDefault="00A95697" w:rsidP="00A95697">
            <w:pPr>
              <w:rPr>
                <w:b/>
                <w:color w:val="000000"/>
              </w:rPr>
            </w:pPr>
            <w:r w:rsidRPr="005160E0">
              <w:rPr>
                <w:b/>
                <w:color w:val="000000"/>
              </w:rPr>
              <w:t>Grand Total (1+2)</w:t>
            </w:r>
          </w:p>
        </w:tc>
        <w:tc>
          <w:tcPr>
            <w:tcW w:w="985" w:type="dxa"/>
          </w:tcPr>
          <w:p w14:paraId="6F3B2107" w14:textId="77777777" w:rsidR="00A95697" w:rsidRPr="005160E0" w:rsidRDefault="00A95697" w:rsidP="00A95697">
            <w:pPr>
              <w:rPr>
                <w:color w:val="000000"/>
              </w:rPr>
            </w:pPr>
          </w:p>
        </w:tc>
        <w:tc>
          <w:tcPr>
            <w:tcW w:w="634" w:type="dxa"/>
          </w:tcPr>
          <w:p w14:paraId="4A6EEC60" w14:textId="77777777" w:rsidR="00A95697" w:rsidRPr="005160E0" w:rsidRDefault="00A95697" w:rsidP="00A95697">
            <w:pPr>
              <w:rPr>
                <w:color w:val="000000"/>
              </w:rPr>
            </w:pPr>
          </w:p>
        </w:tc>
        <w:tc>
          <w:tcPr>
            <w:tcW w:w="1198" w:type="dxa"/>
          </w:tcPr>
          <w:p w14:paraId="1C6EE8D5" w14:textId="77777777" w:rsidR="00A95697" w:rsidRPr="000C0DC7" w:rsidRDefault="00A95697" w:rsidP="00A95697">
            <w:pPr>
              <w:rPr>
                <w:rFonts w:ascii="Gill Sans MT" w:hAnsi="Gill Sans MT"/>
                <w:bCs/>
              </w:rPr>
            </w:pPr>
          </w:p>
        </w:tc>
        <w:tc>
          <w:tcPr>
            <w:tcW w:w="1260" w:type="dxa"/>
          </w:tcPr>
          <w:p w14:paraId="65E6F191" w14:textId="77777777" w:rsidR="00A95697" w:rsidRPr="000C0DC7" w:rsidRDefault="00A95697" w:rsidP="00A95697">
            <w:pPr>
              <w:rPr>
                <w:rFonts w:ascii="Gill Sans MT" w:hAnsi="Gill Sans MT"/>
                <w:bCs/>
              </w:rPr>
            </w:pPr>
          </w:p>
        </w:tc>
        <w:tc>
          <w:tcPr>
            <w:tcW w:w="3780" w:type="dxa"/>
          </w:tcPr>
          <w:p w14:paraId="67CE3EBC" w14:textId="77777777" w:rsidR="00A95697" w:rsidRPr="000C0DC7" w:rsidRDefault="00A95697" w:rsidP="00A95697">
            <w:pPr>
              <w:keepNext/>
              <w:keepLines/>
              <w:jc w:val="both"/>
              <w:rPr>
                <w:rFonts w:ascii="Gill Sans MT" w:hAnsi="Gill Sans MT"/>
                <w:bCs/>
              </w:rPr>
            </w:pPr>
          </w:p>
        </w:tc>
      </w:tr>
      <w:bookmarkEnd w:id="1"/>
    </w:tbl>
    <w:p w14:paraId="1F4FACC1" w14:textId="77777777" w:rsidR="00AB4BCA" w:rsidRDefault="00AB4BCA" w:rsidP="00AB4BCA">
      <w:pPr>
        <w:pStyle w:val="Default"/>
        <w:spacing w:after="0" w:line="240" w:lineRule="auto"/>
        <w:ind w:right="720"/>
        <w:rPr>
          <w:rFonts w:cs="Times New Roman"/>
          <w:sz w:val="22"/>
          <w:szCs w:val="22"/>
        </w:rPr>
      </w:pPr>
    </w:p>
    <w:p w14:paraId="64492BCC" w14:textId="77777777" w:rsidR="00AB4BCA" w:rsidRDefault="00AB4BCA" w:rsidP="00AB4BCA">
      <w:pPr>
        <w:pStyle w:val="Default"/>
        <w:spacing w:after="0" w:line="240" w:lineRule="auto"/>
        <w:ind w:right="720"/>
        <w:rPr>
          <w:rFonts w:cs="Times New Roman"/>
          <w:sz w:val="22"/>
          <w:szCs w:val="22"/>
        </w:rPr>
      </w:pPr>
    </w:p>
    <w:p w14:paraId="07F285EE" w14:textId="1B730269" w:rsidR="00EC6429" w:rsidRPr="008C5B96" w:rsidRDefault="00EC6429" w:rsidP="00AB4BCA">
      <w:pPr>
        <w:pStyle w:val="Default"/>
        <w:spacing w:after="0" w:line="240" w:lineRule="auto"/>
        <w:ind w:right="720"/>
        <w:rPr>
          <w:rFonts w:cs="Times New Roman"/>
          <w:sz w:val="22"/>
          <w:szCs w:val="22"/>
        </w:rPr>
      </w:pPr>
      <w:r w:rsidRPr="008C5B96">
        <w:rPr>
          <w:rFonts w:cs="Times New Roman"/>
          <w:sz w:val="22"/>
          <w:szCs w:val="22"/>
        </w:rPr>
        <w:t xml:space="preserve">We, the undersigned, provide the attached </w:t>
      </w:r>
      <w:r w:rsidR="007C4557">
        <w:rPr>
          <w:rFonts w:cs="Times New Roman"/>
          <w:sz w:val="22"/>
          <w:szCs w:val="22"/>
        </w:rPr>
        <w:t>quote</w:t>
      </w:r>
      <w:r w:rsidR="00EF0879" w:rsidRPr="008C5B96">
        <w:rPr>
          <w:rFonts w:cs="Times New Roman"/>
          <w:sz w:val="22"/>
          <w:szCs w:val="22"/>
        </w:rPr>
        <w:t xml:space="preserve"> </w:t>
      </w:r>
      <w:r w:rsidRPr="008C5B96">
        <w:rPr>
          <w:rFonts w:cs="Times New Roman"/>
          <w:sz w:val="22"/>
          <w:szCs w:val="22"/>
        </w:rPr>
        <w:t xml:space="preserve">in accordance </w:t>
      </w:r>
      <w:r w:rsidR="007C4557">
        <w:rPr>
          <w:rFonts w:cs="Times New Roman"/>
          <w:sz w:val="22"/>
          <w:szCs w:val="22"/>
        </w:rPr>
        <w:t>RFQ</w:t>
      </w:r>
      <w:r w:rsidR="00EF0879">
        <w:rPr>
          <w:rFonts w:cs="Times New Roman"/>
          <w:sz w:val="22"/>
          <w:szCs w:val="22"/>
        </w:rPr>
        <w:t xml:space="preserve"> </w:t>
      </w:r>
      <w:r>
        <w:rPr>
          <w:rFonts w:cs="Times New Roman"/>
          <w:sz w:val="22"/>
          <w:szCs w:val="22"/>
        </w:rPr>
        <w:t xml:space="preserve"># </w:t>
      </w:r>
      <w:r w:rsidR="00B029D8">
        <w:rPr>
          <w:rFonts w:cs="Times New Roman"/>
          <w:sz w:val="22"/>
          <w:szCs w:val="22"/>
        </w:rPr>
        <w:t>RFQ-RADP-E-KBL-20-</w:t>
      </w:r>
      <w:r w:rsidR="00E91AFC">
        <w:rPr>
          <w:rFonts w:cs="Times New Roman"/>
          <w:sz w:val="22"/>
          <w:szCs w:val="22"/>
        </w:rPr>
        <w:t>0014</w:t>
      </w:r>
      <w:r w:rsidR="001E4B6E" w:rsidRPr="005160E0">
        <w:rPr>
          <w:rFonts w:cs="Times New Roman"/>
          <w:sz w:val="22"/>
          <w:szCs w:val="22"/>
        </w:rPr>
        <w:t xml:space="preserve">. </w:t>
      </w:r>
      <w:r w:rsidR="001E4B6E" w:rsidRPr="008C5B96">
        <w:rPr>
          <w:rFonts w:cs="Times New Roman"/>
          <w:sz w:val="22"/>
          <w:szCs w:val="22"/>
        </w:rPr>
        <w:t>Dated</w:t>
      </w:r>
      <w:r w:rsidR="007A6F4B">
        <w:rPr>
          <w:rFonts w:cs="Times New Roman"/>
          <w:sz w:val="22"/>
          <w:szCs w:val="22"/>
        </w:rPr>
        <w:t>________________________</w:t>
      </w:r>
      <w:r w:rsidR="001E4B6E">
        <w:rPr>
          <w:rFonts w:cs="Times New Roman"/>
          <w:sz w:val="22"/>
          <w:szCs w:val="22"/>
        </w:rPr>
        <w:t xml:space="preserve">, </w:t>
      </w:r>
      <w:r w:rsidR="001E4B6E" w:rsidRPr="008C5B96">
        <w:rPr>
          <w:rFonts w:cs="Times New Roman"/>
          <w:sz w:val="22"/>
          <w:szCs w:val="22"/>
        </w:rPr>
        <w:t>our</w:t>
      </w:r>
      <w:r w:rsidRPr="008C5B96">
        <w:rPr>
          <w:rFonts w:cs="Times New Roman"/>
          <w:sz w:val="22"/>
          <w:szCs w:val="22"/>
        </w:rPr>
        <w:t xml:space="preserve"> attached </w:t>
      </w:r>
      <w:r w:rsidR="007C4557">
        <w:rPr>
          <w:rFonts w:cs="Times New Roman"/>
          <w:sz w:val="22"/>
          <w:szCs w:val="22"/>
        </w:rPr>
        <w:t>quote</w:t>
      </w:r>
      <w:r w:rsidR="00EF0879" w:rsidRPr="008C5B96">
        <w:rPr>
          <w:rFonts w:cs="Times New Roman"/>
          <w:sz w:val="22"/>
          <w:szCs w:val="22"/>
        </w:rPr>
        <w:t xml:space="preserve"> </w:t>
      </w:r>
      <w:r w:rsidRPr="008C5B96">
        <w:rPr>
          <w:rFonts w:cs="Times New Roman"/>
          <w:sz w:val="22"/>
          <w:szCs w:val="22"/>
        </w:rPr>
        <w:t xml:space="preserve">is for the total price of </w:t>
      </w:r>
      <w:r>
        <w:rPr>
          <w:rFonts w:cs="Times New Roman"/>
          <w:sz w:val="22"/>
          <w:szCs w:val="22"/>
        </w:rPr>
        <w:t xml:space="preserve">_____________________ (figure and in words) </w:t>
      </w:r>
    </w:p>
    <w:p w14:paraId="7E08A7AA" w14:textId="77777777" w:rsidR="00EC6429" w:rsidRPr="008C5B96" w:rsidRDefault="00EC6429" w:rsidP="00B029D8">
      <w:pPr>
        <w:pStyle w:val="Default"/>
        <w:spacing w:after="0" w:line="240" w:lineRule="auto"/>
        <w:rPr>
          <w:rFonts w:cs="Times New Roman"/>
          <w:sz w:val="22"/>
          <w:szCs w:val="22"/>
        </w:rPr>
      </w:pPr>
      <w:r w:rsidRPr="00EC6429">
        <w:rPr>
          <w:rFonts w:cs="Times New Roman"/>
          <w:sz w:val="22"/>
          <w:szCs w:val="22"/>
        </w:rPr>
        <w:t>I certify a validity period of</w:t>
      </w:r>
      <w:r>
        <w:rPr>
          <w:rFonts w:cs="Times New Roman"/>
          <w:sz w:val="22"/>
          <w:szCs w:val="22"/>
        </w:rPr>
        <w:t xml:space="preserve"> ___</w:t>
      </w:r>
      <w:r w:rsidRPr="00EC6429">
        <w:rPr>
          <w:rFonts w:cs="Times New Roman"/>
          <w:sz w:val="22"/>
          <w:szCs w:val="22"/>
        </w:rPr>
        <w:t xml:space="preserve">days for the prices provided in the attached Price Schedule/Bill of Quantities. Our </w:t>
      </w:r>
      <w:r w:rsidR="007C4557">
        <w:rPr>
          <w:rFonts w:cs="Times New Roman"/>
          <w:sz w:val="22"/>
          <w:szCs w:val="22"/>
        </w:rPr>
        <w:t>quote</w:t>
      </w:r>
      <w:r w:rsidR="00EF0879">
        <w:rPr>
          <w:rFonts w:cs="Times New Roman"/>
          <w:sz w:val="22"/>
          <w:szCs w:val="22"/>
        </w:rPr>
        <w:t xml:space="preserve"> </w:t>
      </w:r>
      <w:r w:rsidRPr="00EC6429">
        <w:rPr>
          <w:rFonts w:cs="Times New Roman"/>
          <w:sz w:val="22"/>
          <w:szCs w:val="22"/>
        </w:rPr>
        <w:t>shall be binding upon us subject to the</w:t>
      </w:r>
      <w:r w:rsidRPr="008C5B96">
        <w:rPr>
          <w:rFonts w:cs="Times New Roman"/>
          <w:sz w:val="22"/>
          <w:szCs w:val="22"/>
        </w:rPr>
        <w:t xml:space="preserve"> modifications</w:t>
      </w:r>
      <w:r w:rsidR="00993893">
        <w:rPr>
          <w:rFonts w:cs="Times New Roman"/>
          <w:sz w:val="22"/>
          <w:szCs w:val="22"/>
        </w:rPr>
        <w:t>.</w:t>
      </w:r>
    </w:p>
    <w:p w14:paraId="2D152B68" w14:textId="77777777" w:rsidR="00EC6429" w:rsidRPr="005160E0" w:rsidRDefault="00EC6429" w:rsidP="00EC6429">
      <w:pPr>
        <w:pStyle w:val="Default"/>
        <w:spacing w:after="0" w:line="240" w:lineRule="auto"/>
        <w:ind w:left="720"/>
        <w:rPr>
          <w:rFonts w:cs="Times New Roman"/>
          <w:sz w:val="22"/>
          <w:szCs w:val="22"/>
        </w:rPr>
      </w:pPr>
    </w:p>
    <w:p w14:paraId="202EF7FF" w14:textId="6A13403B" w:rsidR="00EC6429" w:rsidRDefault="00EC6429" w:rsidP="00B029D8">
      <w:pPr>
        <w:pStyle w:val="Default"/>
        <w:spacing w:after="0" w:line="240" w:lineRule="auto"/>
        <w:rPr>
          <w:rFonts w:cs="Times New Roman"/>
          <w:sz w:val="22"/>
          <w:szCs w:val="22"/>
        </w:rPr>
      </w:pPr>
      <w:r w:rsidRPr="008C5B96">
        <w:rPr>
          <w:rFonts w:cs="Times New Roman"/>
          <w:sz w:val="22"/>
          <w:szCs w:val="22"/>
        </w:rPr>
        <w:t xml:space="preserve">We understand that DAI is not bound to accept any </w:t>
      </w:r>
      <w:r w:rsidR="007C4557">
        <w:rPr>
          <w:rFonts w:cs="Times New Roman"/>
          <w:sz w:val="22"/>
          <w:szCs w:val="22"/>
        </w:rPr>
        <w:t>quote</w:t>
      </w:r>
      <w:r w:rsidR="00EF0879">
        <w:rPr>
          <w:rFonts w:cs="Times New Roman"/>
          <w:sz w:val="22"/>
          <w:szCs w:val="22"/>
        </w:rPr>
        <w:t xml:space="preserve">s </w:t>
      </w:r>
      <w:r w:rsidRPr="008C5B96">
        <w:rPr>
          <w:rFonts w:cs="Times New Roman"/>
          <w:sz w:val="22"/>
          <w:szCs w:val="22"/>
        </w:rPr>
        <w:t xml:space="preserve">it receives. </w:t>
      </w:r>
    </w:p>
    <w:p w14:paraId="70961865" w14:textId="1C02DE84" w:rsidR="00297676" w:rsidRPr="008C5B96" w:rsidRDefault="00297676" w:rsidP="00B029D8">
      <w:pPr>
        <w:pStyle w:val="Default"/>
        <w:spacing w:after="0" w:line="240" w:lineRule="auto"/>
        <w:rPr>
          <w:rFonts w:cs="Times New Roman"/>
          <w:sz w:val="22"/>
          <w:szCs w:val="22"/>
        </w:rPr>
      </w:pPr>
    </w:p>
    <w:p w14:paraId="44ECA27D" w14:textId="77777777" w:rsidR="00EC6429" w:rsidRPr="008C5B96" w:rsidRDefault="00EC6429" w:rsidP="00EC6429">
      <w:pPr>
        <w:pStyle w:val="Default"/>
        <w:spacing w:after="0" w:line="240" w:lineRule="auto"/>
        <w:rPr>
          <w:rFonts w:cs="Times New Roman"/>
          <w:sz w:val="22"/>
          <w:szCs w:val="22"/>
        </w:rPr>
      </w:pPr>
    </w:p>
    <w:p w14:paraId="45227FBC" w14:textId="77777777" w:rsidR="00EC6429" w:rsidRPr="008C5B96" w:rsidRDefault="00EC6429" w:rsidP="00B029D8">
      <w:pPr>
        <w:pStyle w:val="Default"/>
        <w:spacing w:after="0" w:line="240" w:lineRule="auto"/>
        <w:rPr>
          <w:rFonts w:cs="Times New Roman"/>
          <w:sz w:val="22"/>
          <w:szCs w:val="22"/>
        </w:rPr>
      </w:pPr>
      <w:r w:rsidRPr="008C5B96">
        <w:rPr>
          <w:rFonts w:cs="Times New Roman"/>
          <w:sz w:val="22"/>
          <w:szCs w:val="22"/>
        </w:rPr>
        <w:t xml:space="preserve">Authorized Signature: </w:t>
      </w:r>
    </w:p>
    <w:p w14:paraId="578B1F78" w14:textId="77777777" w:rsidR="00EC6429" w:rsidRPr="008C5B96" w:rsidRDefault="00EC6429" w:rsidP="00B029D8">
      <w:pPr>
        <w:pStyle w:val="Default"/>
        <w:tabs>
          <w:tab w:val="left" w:pos="7200"/>
        </w:tabs>
        <w:spacing w:after="0" w:line="240" w:lineRule="auto"/>
        <w:ind w:right="-540"/>
        <w:rPr>
          <w:rFonts w:cs="Times New Roman"/>
          <w:sz w:val="22"/>
          <w:szCs w:val="22"/>
        </w:rPr>
      </w:pPr>
      <w:r w:rsidRPr="008C5B96">
        <w:rPr>
          <w:rFonts w:cs="Times New Roman"/>
          <w:sz w:val="22"/>
          <w:szCs w:val="22"/>
        </w:rPr>
        <w:t xml:space="preserve">Name and Title of Signatory: </w:t>
      </w:r>
    </w:p>
    <w:p w14:paraId="0F432613" w14:textId="77777777" w:rsidR="00EC6429" w:rsidRPr="008C5B96" w:rsidRDefault="00EC6429" w:rsidP="00B029D8">
      <w:pPr>
        <w:pStyle w:val="Default"/>
        <w:spacing w:after="0" w:line="240" w:lineRule="auto"/>
        <w:rPr>
          <w:rFonts w:cs="Times New Roman"/>
          <w:sz w:val="22"/>
          <w:szCs w:val="22"/>
        </w:rPr>
      </w:pPr>
      <w:r w:rsidRPr="008C5B96">
        <w:rPr>
          <w:rFonts w:cs="Times New Roman"/>
          <w:sz w:val="22"/>
          <w:szCs w:val="22"/>
        </w:rPr>
        <w:t xml:space="preserve">Name of Firm: </w:t>
      </w:r>
    </w:p>
    <w:p w14:paraId="1E185476" w14:textId="77777777" w:rsidR="00EC6429" w:rsidRDefault="00EC6429" w:rsidP="00B029D8">
      <w:pPr>
        <w:pStyle w:val="Default"/>
        <w:spacing w:after="0" w:line="240" w:lineRule="auto"/>
        <w:rPr>
          <w:rFonts w:cs="Times New Roman"/>
          <w:sz w:val="22"/>
          <w:szCs w:val="22"/>
        </w:rPr>
      </w:pPr>
      <w:r w:rsidRPr="008C5B96">
        <w:rPr>
          <w:rFonts w:cs="Times New Roman"/>
          <w:sz w:val="22"/>
          <w:szCs w:val="22"/>
        </w:rPr>
        <w:t xml:space="preserve">Address: </w:t>
      </w:r>
    </w:p>
    <w:p w14:paraId="266CF721" w14:textId="77777777" w:rsidR="00EC6429" w:rsidRPr="008C5B96" w:rsidRDefault="00EC6429" w:rsidP="00B029D8">
      <w:pPr>
        <w:pStyle w:val="Default"/>
        <w:spacing w:after="0" w:line="240" w:lineRule="auto"/>
        <w:rPr>
          <w:rFonts w:cs="Times New Roman"/>
          <w:sz w:val="22"/>
          <w:szCs w:val="22"/>
        </w:rPr>
      </w:pPr>
      <w:r w:rsidRPr="008C5B96">
        <w:rPr>
          <w:rFonts w:cs="Times New Roman"/>
          <w:sz w:val="22"/>
          <w:szCs w:val="22"/>
        </w:rPr>
        <w:t xml:space="preserve">Telephone: </w:t>
      </w:r>
    </w:p>
    <w:p w14:paraId="3D5172AC" w14:textId="77777777" w:rsidR="00EC6429" w:rsidRPr="008C5B96" w:rsidRDefault="00EC6429" w:rsidP="00B029D8">
      <w:pPr>
        <w:pStyle w:val="Default"/>
        <w:spacing w:after="0" w:line="240" w:lineRule="auto"/>
        <w:rPr>
          <w:rFonts w:cs="Times New Roman"/>
          <w:sz w:val="22"/>
          <w:szCs w:val="22"/>
        </w:rPr>
      </w:pPr>
      <w:r w:rsidRPr="008C5B96">
        <w:rPr>
          <w:rFonts w:cs="Times New Roman"/>
          <w:sz w:val="22"/>
          <w:szCs w:val="22"/>
        </w:rPr>
        <w:t xml:space="preserve">Email: </w:t>
      </w:r>
    </w:p>
    <w:p w14:paraId="78A90779" w14:textId="77777777" w:rsidR="00E86C91" w:rsidRPr="005160E0" w:rsidRDefault="00EC6429" w:rsidP="00EC6429">
      <w:pPr>
        <w:ind w:left="5040" w:firstLine="720"/>
        <w:rPr>
          <w:color w:val="000000"/>
        </w:rPr>
      </w:pPr>
      <w:r w:rsidRPr="005160E0">
        <w:rPr>
          <w:color w:val="000000"/>
        </w:rPr>
        <w:t>Company Seal/Stamp:</w:t>
      </w:r>
    </w:p>
    <w:p w14:paraId="0790A8BE" w14:textId="77777777" w:rsidR="00636156" w:rsidRDefault="00636156" w:rsidP="00EC6429">
      <w:pPr>
        <w:ind w:left="5040" w:firstLine="720"/>
        <w:sectPr w:rsidR="00636156" w:rsidSect="00B029D8">
          <w:pgSz w:w="12240" w:h="15840" w:code="1"/>
          <w:pgMar w:top="1440" w:right="1440" w:bottom="1440" w:left="1260" w:header="720" w:footer="720" w:gutter="0"/>
          <w:cols w:space="720"/>
          <w:docGrid w:linePitch="360"/>
        </w:sectPr>
      </w:pPr>
    </w:p>
    <w:p w14:paraId="53D04ABD" w14:textId="5446BE6A" w:rsidR="00636156" w:rsidRPr="00C01D04" w:rsidRDefault="001074DD" w:rsidP="006A426E">
      <w:pPr>
        <w:pStyle w:val="Heading2"/>
        <w:spacing w:before="120" w:line="240" w:lineRule="auto"/>
        <w:ind w:left="756"/>
        <w:rPr>
          <w:color w:val="2E74B5" w:themeColor="accent1" w:themeShade="BF"/>
        </w:rPr>
      </w:pPr>
      <w:r w:rsidRPr="00C01D04">
        <w:rPr>
          <w:color w:val="2E74B5" w:themeColor="accent1" w:themeShade="BF"/>
        </w:rPr>
        <w:lastRenderedPageBreak/>
        <w:t>Attachment B</w:t>
      </w:r>
      <w:r w:rsidR="00636156" w:rsidRPr="00C01D04">
        <w:rPr>
          <w:color w:val="2E74B5" w:themeColor="accent1" w:themeShade="BF"/>
        </w:rPr>
        <w:t>: Detailed Technical Specifications</w:t>
      </w:r>
    </w:p>
    <w:p w14:paraId="766125F9" w14:textId="77777777" w:rsidR="00F15731" w:rsidRDefault="00F15731" w:rsidP="00F15731">
      <w:pPr>
        <w:rPr>
          <w:rFonts w:asciiTheme="minorHAnsi" w:hAnsiTheme="minorHAnsi"/>
          <w:b/>
          <w:bCs/>
        </w:rPr>
      </w:pPr>
      <w:bookmarkStart w:id="2" w:name="_Hlk535757902"/>
    </w:p>
    <w:p w14:paraId="01F28C2A" w14:textId="2CE00250" w:rsidR="00F15731" w:rsidRDefault="00F15731" w:rsidP="00F15731">
      <w:pPr>
        <w:rPr>
          <w:rFonts w:asciiTheme="minorHAnsi" w:hAnsiTheme="minorHAnsi"/>
          <w:b/>
          <w:bCs/>
        </w:rPr>
      </w:pPr>
      <w:r>
        <w:rPr>
          <w:rFonts w:asciiTheme="minorHAnsi" w:hAnsiTheme="minorHAnsi"/>
          <w:b/>
          <w:bCs/>
        </w:rPr>
        <w:t>Background</w:t>
      </w:r>
    </w:p>
    <w:p w14:paraId="2209B382" w14:textId="0E321A5F" w:rsidR="00F15731" w:rsidRPr="002F3F89" w:rsidRDefault="00F15731" w:rsidP="006C1197">
      <w:pPr>
        <w:rPr>
          <w:color w:val="000000"/>
        </w:rPr>
      </w:pPr>
      <w:r w:rsidRPr="002F3F89">
        <w:rPr>
          <w:color w:val="000000"/>
        </w:rPr>
        <w:t>RADP-E provides small grants and technical assistance to Afghan agribusinesses operating as exporters / traders, processors and input suppliers in apricot, dairy, poultry and tomato value chains in our targeted provinces of Kabul, Parwan, Kapisa, Logar, Wardak, Ghazni, Laghman and Nangarhar. RADP-E experience over the past 2.5 years indicates that many agribusinesses lack a clear strategy for promoting their business and/or products and services offered. Many of the agri-businesses RADP-E provides assistance to rely on outdated marketing and product branding. RADP-E is seeking qualified service provider(s) who can work directly with RADP-E supported agri-businesses in developing and designing a website as well as providing assistance in the design of various promotional materials such as product logo’s, packaging, and labels.</w:t>
      </w:r>
    </w:p>
    <w:p w14:paraId="69384A61" w14:textId="63160B52" w:rsidR="00F15731" w:rsidRPr="002F3F89" w:rsidRDefault="00F15731" w:rsidP="003D28CA">
      <w:pPr>
        <w:tabs>
          <w:tab w:val="right" w:pos="9360"/>
        </w:tabs>
        <w:spacing w:after="120"/>
        <w:jc w:val="both"/>
        <w:rPr>
          <w:color w:val="000000"/>
        </w:rPr>
      </w:pPr>
      <w:r w:rsidRPr="002F3F89">
        <w:rPr>
          <w:color w:val="000000"/>
        </w:rPr>
        <w:t xml:space="preserve">To do so, qualified service providers can respond to this solicitation to provide: </w:t>
      </w:r>
      <w:r w:rsidR="003D28CA" w:rsidRPr="002F3F89">
        <w:rPr>
          <w:color w:val="000000"/>
        </w:rPr>
        <w:tab/>
      </w:r>
    </w:p>
    <w:p w14:paraId="2F8A685F" w14:textId="35F4A722" w:rsidR="00F15731" w:rsidRPr="002F3F89" w:rsidRDefault="00F15731" w:rsidP="00B80EAC">
      <w:pPr>
        <w:numPr>
          <w:ilvl w:val="3"/>
          <w:numId w:val="22"/>
        </w:numPr>
        <w:spacing w:after="120" w:line="240" w:lineRule="auto"/>
        <w:ind w:left="720"/>
        <w:jc w:val="both"/>
        <w:rPr>
          <w:color w:val="000000"/>
        </w:rPr>
      </w:pPr>
      <w:r w:rsidRPr="002F3F89">
        <w:rPr>
          <w:color w:val="000000"/>
        </w:rPr>
        <w:t>Provision of Services in Product Design Improvement for Agribusinesses</w:t>
      </w:r>
    </w:p>
    <w:p w14:paraId="6BD2C506" w14:textId="7C495621" w:rsidR="00F15731" w:rsidRPr="002F3F89" w:rsidRDefault="00F15731" w:rsidP="00F15731">
      <w:pPr>
        <w:numPr>
          <w:ilvl w:val="3"/>
          <w:numId w:val="22"/>
        </w:numPr>
        <w:spacing w:after="120" w:line="240" w:lineRule="auto"/>
        <w:ind w:left="720"/>
        <w:jc w:val="both"/>
        <w:rPr>
          <w:color w:val="000000"/>
        </w:rPr>
      </w:pPr>
      <w:r w:rsidRPr="002F3F89">
        <w:rPr>
          <w:color w:val="000000"/>
        </w:rPr>
        <w:t>Provision of Services in W</w:t>
      </w:r>
      <w:r w:rsidR="00B80EAC" w:rsidRPr="002F3F89">
        <w:rPr>
          <w:color w:val="000000"/>
        </w:rPr>
        <w:t xml:space="preserve">ebsite </w:t>
      </w:r>
      <w:r w:rsidR="00E91AFC" w:rsidRPr="002F3F89">
        <w:rPr>
          <w:color w:val="000000"/>
        </w:rPr>
        <w:t>Development,</w:t>
      </w:r>
      <w:r w:rsidR="00F37250">
        <w:rPr>
          <w:color w:val="000000"/>
        </w:rPr>
        <w:t xml:space="preserve"> </w:t>
      </w:r>
      <w:r w:rsidR="00B80EAC" w:rsidRPr="002F3F89">
        <w:rPr>
          <w:color w:val="000000"/>
        </w:rPr>
        <w:t>Design</w:t>
      </w:r>
      <w:r w:rsidR="00F37250">
        <w:rPr>
          <w:color w:val="000000"/>
        </w:rPr>
        <w:t xml:space="preserve">, Training and </w:t>
      </w:r>
      <w:r w:rsidR="00E91AFC">
        <w:rPr>
          <w:color w:val="000000"/>
        </w:rPr>
        <w:t xml:space="preserve">delivery </w:t>
      </w:r>
      <w:r w:rsidR="00E91AFC" w:rsidRPr="002F3F89">
        <w:rPr>
          <w:color w:val="000000"/>
        </w:rPr>
        <w:t>for</w:t>
      </w:r>
      <w:r w:rsidRPr="002F3F89">
        <w:rPr>
          <w:color w:val="000000"/>
        </w:rPr>
        <w:t xml:space="preserve"> Agribusinesses </w:t>
      </w:r>
    </w:p>
    <w:p w14:paraId="0FDD6015" w14:textId="2F334E51" w:rsidR="00F15731" w:rsidRPr="002F3F89" w:rsidRDefault="00B80EAC" w:rsidP="00F15731">
      <w:pPr>
        <w:spacing w:after="120"/>
        <w:jc w:val="both"/>
        <w:rPr>
          <w:color w:val="000000"/>
        </w:rPr>
      </w:pPr>
      <w:r w:rsidRPr="002F3F89">
        <w:rPr>
          <w:color w:val="000000"/>
        </w:rPr>
        <w:t>T</w:t>
      </w:r>
      <w:r w:rsidR="00F15731" w:rsidRPr="002F3F89">
        <w:rPr>
          <w:color w:val="000000"/>
        </w:rPr>
        <w:t xml:space="preserve">hese efforts should improve </w:t>
      </w:r>
      <w:r w:rsidRPr="002F3F89">
        <w:rPr>
          <w:color w:val="000000"/>
        </w:rPr>
        <w:t xml:space="preserve">the </w:t>
      </w:r>
      <w:r w:rsidR="00F15731" w:rsidRPr="002F3F89">
        <w:rPr>
          <w:color w:val="000000"/>
        </w:rPr>
        <w:t xml:space="preserve">agribusinesses </w:t>
      </w:r>
      <w:r w:rsidRPr="002F3F89">
        <w:rPr>
          <w:color w:val="000000"/>
        </w:rPr>
        <w:t>ability</w:t>
      </w:r>
      <w:r w:rsidR="00F15731" w:rsidRPr="002F3F89">
        <w:rPr>
          <w:color w:val="000000"/>
        </w:rPr>
        <w:t xml:space="preserve"> to attract more buyers and increase sales and market coverage in the apricot, dairy, poultry and tomato value chains. </w:t>
      </w:r>
      <w:r w:rsidRPr="002F3F89">
        <w:rPr>
          <w:color w:val="000000"/>
        </w:rPr>
        <w:t xml:space="preserve">Through a Blanket Purchase Agreement (BPA), </w:t>
      </w:r>
      <w:r w:rsidR="00F15731" w:rsidRPr="002F3F89">
        <w:rPr>
          <w:color w:val="000000"/>
        </w:rPr>
        <w:t xml:space="preserve">RADP-E will solicit the services of one or more companies (Contractors) to provide mentioned services to agribusinesses located in Kabul, Logar, Kapisa, Ghazni, Wardak, Parwan, Laghman and Nangarhar. </w:t>
      </w:r>
    </w:p>
    <w:p w14:paraId="055D3EB9" w14:textId="1B7A44DE" w:rsidR="00B80EAC" w:rsidRDefault="00F15731" w:rsidP="00F15731">
      <w:pPr>
        <w:jc w:val="both"/>
        <w:rPr>
          <w:rFonts w:cs="Tms Rmn"/>
          <w:color w:val="000000"/>
        </w:rPr>
      </w:pPr>
      <w:r w:rsidRPr="00E91AFC">
        <w:rPr>
          <w:color w:val="000000"/>
        </w:rPr>
        <w:t>RADP-E will require the above-mentioned services on an “as needed” basis during the period</w:t>
      </w:r>
      <w:r w:rsidR="0030233A">
        <w:rPr>
          <w:color w:val="000000"/>
        </w:rPr>
        <w:t xml:space="preserve"> May </w:t>
      </w:r>
      <w:r w:rsidR="00E91AFC" w:rsidRPr="00E91AFC">
        <w:rPr>
          <w:color w:val="000000"/>
        </w:rPr>
        <w:t>1</w:t>
      </w:r>
      <w:r w:rsidR="0030233A">
        <w:rPr>
          <w:color w:val="000000"/>
        </w:rPr>
        <w:t xml:space="preserve">5, 2020 to May </w:t>
      </w:r>
      <w:r w:rsidR="00E91AFC" w:rsidRPr="00E91AFC">
        <w:rPr>
          <w:color w:val="000000"/>
        </w:rPr>
        <w:t>1</w:t>
      </w:r>
      <w:r w:rsidR="0030233A">
        <w:rPr>
          <w:color w:val="000000"/>
        </w:rPr>
        <w:t>4</w:t>
      </w:r>
      <w:r w:rsidR="00E91AFC" w:rsidRPr="00E91AFC">
        <w:rPr>
          <w:color w:val="000000"/>
        </w:rPr>
        <w:t>, 2021</w:t>
      </w:r>
      <w:r w:rsidRPr="00E91AFC">
        <w:rPr>
          <w:color w:val="000000"/>
        </w:rPr>
        <w:t xml:space="preserve">. </w:t>
      </w:r>
      <w:r w:rsidR="00B80EAC" w:rsidRPr="00E91AFC">
        <w:rPr>
          <w:color w:val="000000"/>
        </w:rPr>
        <w:t>It is envisioned that t</w:t>
      </w:r>
      <w:r w:rsidRPr="00E91AFC">
        <w:rPr>
          <w:color w:val="000000"/>
        </w:rPr>
        <w:t>he</w:t>
      </w:r>
      <w:r w:rsidR="005B18A2" w:rsidRPr="00E91AFC">
        <w:rPr>
          <w:color w:val="000000"/>
        </w:rPr>
        <w:t xml:space="preserve"> contractor will work with</w:t>
      </w:r>
      <w:r w:rsidRPr="00E91AFC">
        <w:rPr>
          <w:color w:val="000000"/>
        </w:rPr>
        <w:t xml:space="preserve"> one </w:t>
      </w:r>
      <w:r w:rsidR="005B18A2" w:rsidRPr="00E91AFC">
        <w:rPr>
          <w:color w:val="000000"/>
        </w:rPr>
        <w:t xml:space="preserve">or multiple </w:t>
      </w:r>
      <w:r w:rsidRPr="00E91AFC">
        <w:rPr>
          <w:color w:val="000000"/>
        </w:rPr>
        <w:t>firm</w:t>
      </w:r>
      <w:r w:rsidR="005B18A2" w:rsidRPr="00E91AFC">
        <w:rPr>
          <w:color w:val="000000"/>
        </w:rPr>
        <w:t>s</w:t>
      </w:r>
      <w:r w:rsidRPr="00E91AFC">
        <w:rPr>
          <w:color w:val="000000"/>
        </w:rPr>
        <w:t xml:space="preserve"> at a time</w:t>
      </w:r>
      <w:r w:rsidRPr="002F3F89">
        <w:rPr>
          <w:color w:val="000000"/>
        </w:rPr>
        <w:t xml:space="preserve"> to</w:t>
      </w:r>
      <w:r>
        <w:rPr>
          <w:rFonts w:cs="Tms Rmn"/>
          <w:color w:val="000000"/>
        </w:rPr>
        <w:t xml:space="preserve"> provide the services above. </w:t>
      </w:r>
    </w:p>
    <w:p w14:paraId="1CCAF719" w14:textId="5BDC62B5" w:rsidR="00EB6D75" w:rsidRPr="002F3F89" w:rsidRDefault="00EB6D75" w:rsidP="00F15731">
      <w:pPr>
        <w:jc w:val="both"/>
        <w:rPr>
          <w:color w:val="000000"/>
        </w:rPr>
      </w:pPr>
      <w:r w:rsidRPr="002F3F89">
        <w:rPr>
          <w:color w:val="000000"/>
        </w:rPr>
        <w:t>One of the goals of this activity is to link qualified and professional service providers with serious agribusinesses interested in enhancing their market outreach. It is envisioned that once the servi</w:t>
      </w:r>
      <w:r w:rsidR="001074DD" w:rsidRPr="002F3F89">
        <w:rPr>
          <w:color w:val="000000"/>
        </w:rPr>
        <w:t>ce provider completes a Release</w:t>
      </w:r>
      <w:r w:rsidRPr="002F3F89">
        <w:rPr>
          <w:color w:val="000000"/>
        </w:rPr>
        <w:t xml:space="preserve"> Order under this BPA, the service provider and the agribusiness will continue a relationship outside of RADP-E assistance.</w:t>
      </w:r>
    </w:p>
    <w:p w14:paraId="47F6B3F4" w14:textId="24DA3AFF" w:rsidR="00B80EAC" w:rsidRPr="0074684C" w:rsidRDefault="00B80EAC" w:rsidP="00F15731">
      <w:pPr>
        <w:jc w:val="both"/>
        <w:rPr>
          <w:color w:val="000000"/>
        </w:rPr>
      </w:pPr>
      <w:r w:rsidRPr="0074684C">
        <w:rPr>
          <w:color w:val="000000"/>
        </w:rPr>
        <w:t>Met</w:t>
      </w:r>
      <w:r w:rsidR="003D28CA" w:rsidRPr="0074684C">
        <w:rPr>
          <w:color w:val="000000"/>
        </w:rPr>
        <w:t>hod for award of Blanket Purchase Agreement</w:t>
      </w:r>
    </w:p>
    <w:p w14:paraId="14CCC0A0" w14:textId="188696D0" w:rsidR="00B80EAC" w:rsidRPr="002F3F89" w:rsidRDefault="00B80EAC" w:rsidP="00F15731">
      <w:pPr>
        <w:jc w:val="both"/>
        <w:rPr>
          <w:color w:val="000000"/>
        </w:rPr>
      </w:pPr>
      <w:r w:rsidRPr="0074684C">
        <w:rPr>
          <w:color w:val="000000"/>
        </w:rPr>
        <w:t>Through this solicitation, RAD</w:t>
      </w:r>
      <w:r w:rsidR="003D28CA" w:rsidRPr="0074684C">
        <w:rPr>
          <w:color w:val="000000"/>
        </w:rPr>
        <w:t xml:space="preserve">P-E will select one or more </w:t>
      </w:r>
      <w:r w:rsidRPr="0074684C">
        <w:rPr>
          <w:color w:val="000000"/>
        </w:rPr>
        <w:t xml:space="preserve">bidders as </w:t>
      </w:r>
      <w:r w:rsidR="00055B5D" w:rsidRPr="0074684C">
        <w:rPr>
          <w:color w:val="000000"/>
        </w:rPr>
        <w:t xml:space="preserve">winners or </w:t>
      </w:r>
      <w:r w:rsidRPr="0074684C">
        <w:rPr>
          <w:color w:val="000000"/>
        </w:rPr>
        <w:t>holders of the BPA. During the l</w:t>
      </w:r>
      <w:r w:rsidR="00EB6D75" w:rsidRPr="0074684C">
        <w:rPr>
          <w:color w:val="000000"/>
        </w:rPr>
        <w:t>ife of this BPA,</w:t>
      </w:r>
      <w:r w:rsidRPr="0074684C">
        <w:rPr>
          <w:color w:val="000000"/>
        </w:rPr>
        <w:t xml:space="preserve"> RADP-E will </w:t>
      </w:r>
      <w:r w:rsidR="00055B5D" w:rsidRPr="0074684C">
        <w:rPr>
          <w:color w:val="000000"/>
        </w:rPr>
        <w:t xml:space="preserve">periodically </w:t>
      </w:r>
      <w:r w:rsidRPr="0074684C">
        <w:rPr>
          <w:color w:val="000000"/>
        </w:rPr>
        <w:t xml:space="preserve">issue </w:t>
      </w:r>
      <w:r w:rsidR="003D28CA" w:rsidRPr="0074684C">
        <w:rPr>
          <w:color w:val="000000"/>
        </w:rPr>
        <w:t>Release Orders (R</w:t>
      </w:r>
      <w:r w:rsidR="00055B5D" w:rsidRPr="0074684C">
        <w:rPr>
          <w:color w:val="000000"/>
        </w:rPr>
        <w:t xml:space="preserve">Os) to the BPA holders requesting the services outlined in this solicitation at the prices agreed upon at the signing of the BPA. For example, after BPA award, RADP-E will notify BPA holders of the need to assist Firm A in Kabul in designing a company logo and establishing a website. </w:t>
      </w:r>
      <w:r w:rsidR="00EB6D75" w:rsidRPr="0074684C">
        <w:rPr>
          <w:color w:val="000000"/>
        </w:rPr>
        <w:t xml:space="preserve">RADP-E and the selected BPA holder will </w:t>
      </w:r>
      <w:r w:rsidR="003D28CA" w:rsidRPr="0074684C">
        <w:rPr>
          <w:color w:val="000000"/>
        </w:rPr>
        <w:t>sign a Release</w:t>
      </w:r>
      <w:r w:rsidR="00EB6D75" w:rsidRPr="0074684C">
        <w:rPr>
          <w:color w:val="000000"/>
        </w:rPr>
        <w:t xml:space="preserve"> Order outlining specific services to be offered to Firm A. </w:t>
      </w:r>
      <w:r w:rsidR="00055B5D" w:rsidRPr="0074684C">
        <w:rPr>
          <w:color w:val="000000"/>
        </w:rPr>
        <w:t xml:space="preserve">The BPA holder will then visit the firm and work directly with them in meeting </w:t>
      </w:r>
      <w:r w:rsidR="001074DD" w:rsidRPr="0074684C">
        <w:rPr>
          <w:color w:val="000000"/>
        </w:rPr>
        <w:t>the requirements of the Release</w:t>
      </w:r>
      <w:r w:rsidR="00055B5D" w:rsidRPr="0074684C">
        <w:rPr>
          <w:color w:val="000000"/>
        </w:rPr>
        <w:t xml:space="preserve"> Order. Payment to the BPA holder will be made once RADP-E and Firm attest that the services were provided as </w:t>
      </w:r>
      <w:r w:rsidR="003D28CA" w:rsidRPr="0074684C">
        <w:rPr>
          <w:color w:val="000000"/>
        </w:rPr>
        <w:t>per requirements of the Release</w:t>
      </w:r>
      <w:r w:rsidR="00055B5D" w:rsidRPr="0074684C">
        <w:rPr>
          <w:color w:val="000000"/>
        </w:rPr>
        <w:t xml:space="preserve"> Order.</w:t>
      </w:r>
      <w:r w:rsidR="00055B5D" w:rsidRPr="002F3F89">
        <w:rPr>
          <w:color w:val="000000"/>
        </w:rPr>
        <w:t xml:space="preserve"> </w:t>
      </w:r>
    </w:p>
    <w:p w14:paraId="3ABBC47F" w14:textId="715A5237" w:rsidR="00F15731" w:rsidRPr="002F3F89" w:rsidRDefault="00F15731" w:rsidP="00F15731">
      <w:pPr>
        <w:jc w:val="both"/>
        <w:rPr>
          <w:color w:val="000000"/>
        </w:rPr>
      </w:pPr>
      <w:r w:rsidRPr="002F3F89">
        <w:rPr>
          <w:color w:val="000000"/>
        </w:rPr>
        <w:lastRenderedPageBreak/>
        <w:t>The frequency of activities</w:t>
      </w:r>
      <w:r w:rsidR="00EB6D75" w:rsidRPr="002F3F89">
        <w:rPr>
          <w:color w:val="000000"/>
        </w:rPr>
        <w:t>, location,</w:t>
      </w:r>
      <w:r w:rsidRPr="002F3F89">
        <w:rPr>
          <w:color w:val="000000"/>
        </w:rPr>
        <w:t xml:space="preserve"> and items</w:t>
      </w:r>
      <w:r w:rsidR="00B80EAC" w:rsidRPr="002F3F89">
        <w:rPr>
          <w:color w:val="000000"/>
        </w:rPr>
        <w:t xml:space="preserve"> </w:t>
      </w:r>
      <w:r w:rsidR="00EB6D75" w:rsidRPr="002F3F89">
        <w:rPr>
          <w:color w:val="000000"/>
        </w:rPr>
        <w:t xml:space="preserve">for various firms </w:t>
      </w:r>
      <w:r w:rsidR="00B80EAC" w:rsidRPr="002F3F89">
        <w:rPr>
          <w:color w:val="000000"/>
        </w:rPr>
        <w:t>may range from one</w:t>
      </w:r>
      <w:r w:rsidRPr="002F3F89">
        <w:rPr>
          <w:color w:val="000000"/>
        </w:rPr>
        <w:t xml:space="preserve"> to multiple during the period of the contract. The </w:t>
      </w:r>
      <w:proofErr w:type="spellStart"/>
      <w:r w:rsidRPr="002F3F89">
        <w:rPr>
          <w:color w:val="000000"/>
        </w:rPr>
        <w:t>offerors</w:t>
      </w:r>
      <w:proofErr w:type="spellEnd"/>
      <w:r w:rsidRPr="002F3F89">
        <w:rPr>
          <w:color w:val="000000"/>
        </w:rPr>
        <w:t xml:space="preserve"> should use the </w:t>
      </w:r>
      <w:r w:rsidR="00B80EAC" w:rsidRPr="002F3F89">
        <w:rPr>
          <w:color w:val="000000"/>
        </w:rPr>
        <w:t xml:space="preserve">Price Schedule (Attachment A) </w:t>
      </w:r>
      <w:r w:rsidRPr="002F3F89">
        <w:rPr>
          <w:color w:val="000000"/>
        </w:rPr>
        <w:t xml:space="preserve">delineating the cost for their services for one (1) company. This price determination will </w:t>
      </w:r>
      <w:r w:rsidR="00EB6D75" w:rsidRPr="002F3F89">
        <w:rPr>
          <w:color w:val="000000"/>
        </w:rPr>
        <w:t xml:space="preserve">then </w:t>
      </w:r>
      <w:r w:rsidR="003D28CA" w:rsidRPr="002F3F89">
        <w:rPr>
          <w:color w:val="000000"/>
        </w:rPr>
        <w:t xml:space="preserve">be used for all </w:t>
      </w:r>
      <w:r w:rsidR="003D28CA" w:rsidRPr="0074684C">
        <w:rPr>
          <w:color w:val="000000"/>
        </w:rPr>
        <w:t>Release</w:t>
      </w:r>
      <w:r w:rsidRPr="0074684C">
        <w:rPr>
          <w:color w:val="000000"/>
        </w:rPr>
        <w:t xml:space="preserve"> orders</w:t>
      </w:r>
      <w:r w:rsidRPr="002F3F89">
        <w:rPr>
          <w:color w:val="000000"/>
        </w:rPr>
        <w:t xml:space="preserve"> during the period of the contract. </w:t>
      </w:r>
    </w:p>
    <w:bookmarkEnd w:id="2"/>
    <w:p w14:paraId="7DF34161" w14:textId="77777777" w:rsidR="00F15731" w:rsidRPr="002F3F89" w:rsidRDefault="00F15731" w:rsidP="00F15731">
      <w:pPr>
        <w:jc w:val="both"/>
        <w:rPr>
          <w:b/>
          <w:color w:val="000000"/>
        </w:rPr>
      </w:pPr>
      <w:r w:rsidRPr="002F3F89">
        <w:rPr>
          <w:b/>
          <w:color w:val="000000"/>
        </w:rPr>
        <w:t>Scope of Work for Activities</w:t>
      </w:r>
    </w:p>
    <w:p w14:paraId="5DD65000" w14:textId="46721EBA" w:rsidR="00F15731" w:rsidRPr="002F3F89" w:rsidRDefault="00F15731" w:rsidP="00F15731">
      <w:pPr>
        <w:pStyle w:val="ListParagraph"/>
        <w:numPr>
          <w:ilvl w:val="0"/>
          <w:numId w:val="28"/>
        </w:numPr>
        <w:spacing w:before="60" w:afterLines="60" w:after="144" w:line="240" w:lineRule="auto"/>
        <w:ind w:left="360"/>
        <w:jc w:val="both"/>
        <w:rPr>
          <w:b/>
          <w:color w:val="000000"/>
        </w:rPr>
      </w:pPr>
      <w:r w:rsidRPr="002F3F89">
        <w:rPr>
          <w:b/>
          <w:color w:val="000000"/>
        </w:rPr>
        <w:t>Provision of Services in W</w:t>
      </w:r>
      <w:r w:rsidR="00503D29" w:rsidRPr="002F3F89">
        <w:rPr>
          <w:b/>
          <w:color w:val="000000"/>
        </w:rPr>
        <w:t>ebsite Development</w:t>
      </w:r>
      <w:r w:rsidR="006C1197">
        <w:rPr>
          <w:b/>
          <w:color w:val="000000"/>
        </w:rPr>
        <w:t xml:space="preserve">, </w:t>
      </w:r>
      <w:r w:rsidR="00503D29" w:rsidRPr="002F3F89">
        <w:rPr>
          <w:b/>
          <w:color w:val="000000"/>
        </w:rPr>
        <w:t>Design</w:t>
      </w:r>
      <w:r w:rsidR="006C1197">
        <w:rPr>
          <w:b/>
          <w:color w:val="000000"/>
        </w:rPr>
        <w:t>, Training &amp; Delivery</w:t>
      </w:r>
      <w:r w:rsidRPr="002F3F89">
        <w:rPr>
          <w:b/>
          <w:color w:val="000000"/>
        </w:rPr>
        <w:t xml:space="preserve"> for Agribusinesses</w:t>
      </w:r>
    </w:p>
    <w:p w14:paraId="01C7FAA1" w14:textId="547E1BEA" w:rsidR="00F15731" w:rsidRPr="002F3F89" w:rsidRDefault="00F15731" w:rsidP="00F15731">
      <w:pPr>
        <w:spacing w:after="100" w:line="240" w:lineRule="atLeast"/>
        <w:jc w:val="both"/>
        <w:rPr>
          <w:color w:val="000000"/>
        </w:rPr>
      </w:pPr>
      <w:r w:rsidRPr="002F3F89">
        <w:rPr>
          <w:color w:val="000000"/>
        </w:rPr>
        <w:t xml:space="preserve">Many of the agribusinesses, </w:t>
      </w:r>
      <w:r w:rsidR="000E2D7D" w:rsidRPr="002F3F89">
        <w:rPr>
          <w:color w:val="000000"/>
        </w:rPr>
        <w:t>e</w:t>
      </w:r>
      <w:r w:rsidRPr="002F3F89">
        <w:rPr>
          <w:color w:val="000000"/>
        </w:rPr>
        <w:t xml:space="preserve">specially exporters need websites for their business promotion in various export and national markets. These businesses lack </w:t>
      </w:r>
      <w:r w:rsidR="000E2D7D" w:rsidRPr="002F3F89">
        <w:rPr>
          <w:color w:val="000000"/>
        </w:rPr>
        <w:t xml:space="preserve">the technical </w:t>
      </w:r>
      <w:r w:rsidRPr="002F3F89">
        <w:rPr>
          <w:color w:val="000000"/>
        </w:rPr>
        <w:t xml:space="preserve">capacity to build and design websites for their business promotion. RADP-E will select potential businesses who have good supply and quality of products and are in need of websites for their business expansion. </w:t>
      </w:r>
    </w:p>
    <w:p w14:paraId="6FE691CE" w14:textId="63F5A0A7" w:rsidR="00F15731" w:rsidRPr="002F3F89" w:rsidRDefault="00F15731" w:rsidP="00F15731">
      <w:pPr>
        <w:spacing w:after="100" w:line="240" w:lineRule="atLeast"/>
        <w:jc w:val="both"/>
        <w:rPr>
          <w:color w:val="000000"/>
        </w:rPr>
      </w:pPr>
      <w:r w:rsidRPr="002F3F89">
        <w:rPr>
          <w:color w:val="000000"/>
        </w:rPr>
        <w:t>RADP-E under this solicitation will request from th</w:t>
      </w:r>
      <w:r w:rsidR="00503D29" w:rsidRPr="002F3F89">
        <w:rPr>
          <w:color w:val="000000"/>
        </w:rPr>
        <w:t xml:space="preserve">e eligible service </w:t>
      </w:r>
      <w:r w:rsidR="001074DD" w:rsidRPr="002F3F89">
        <w:rPr>
          <w:color w:val="000000"/>
        </w:rPr>
        <w:t>provider’s</w:t>
      </w:r>
      <w:r w:rsidR="00503D29" w:rsidRPr="002F3F89">
        <w:rPr>
          <w:color w:val="000000"/>
        </w:rPr>
        <w:t xml:space="preserve"> website</w:t>
      </w:r>
      <w:r w:rsidRPr="002F3F89">
        <w:rPr>
          <w:color w:val="000000"/>
        </w:rPr>
        <w:t xml:space="preserve"> development and desi</w:t>
      </w:r>
      <w:r w:rsidR="00503D29" w:rsidRPr="002F3F89">
        <w:rPr>
          <w:color w:val="000000"/>
        </w:rPr>
        <w:t>gn</w:t>
      </w:r>
      <w:r w:rsidRPr="002F3F89">
        <w:rPr>
          <w:color w:val="000000"/>
        </w:rPr>
        <w:t>. Following services will be required:</w:t>
      </w:r>
    </w:p>
    <w:p w14:paraId="7B748931" w14:textId="77777777" w:rsidR="00F15731" w:rsidRPr="002F3F89" w:rsidRDefault="00F15731" w:rsidP="00F15731">
      <w:pPr>
        <w:pStyle w:val="ListParagraph"/>
        <w:numPr>
          <w:ilvl w:val="0"/>
          <w:numId w:val="29"/>
        </w:numPr>
        <w:spacing w:after="100" w:line="240" w:lineRule="atLeast"/>
        <w:jc w:val="both"/>
        <w:rPr>
          <w:b/>
          <w:color w:val="000000"/>
        </w:rPr>
      </w:pPr>
      <w:r w:rsidRPr="002F3F89">
        <w:rPr>
          <w:b/>
          <w:color w:val="000000"/>
        </w:rPr>
        <w:t>Identification of Potential Agribusinesses</w:t>
      </w:r>
    </w:p>
    <w:p w14:paraId="40C00939" w14:textId="4539C478" w:rsidR="00F15731" w:rsidRPr="00595999" w:rsidRDefault="00503D29" w:rsidP="00F15731">
      <w:pPr>
        <w:spacing w:after="100" w:line="240" w:lineRule="atLeast"/>
        <w:jc w:val="both"/>
        <w:rPr>
          <w:rFonts w:asciiTheme="minorHAnsi" w:hAnsiTheme="minorHAnsi"/>
        </w:rPr>
      </w:pPr>
      <w:r w:rsidRPr="002F3F89">
        <w:rPr>
          <w:color w:val="000000"/>
        </w:rPr>
        <w:t>RADP-E will be responsible for identifying agribusinesses interested in developing a website. I</w:t>
      </w:r>
      <w:r w:rsidR="00F15731" w:rsidRPr="002F3F89">
        <w:rPr>
          <w:color w:val="000000"/>
        </w:rPr>
        <w:t xml:space="preserve">nterested businesses will submit a Letter of Intent (LOI) to RADP-E mentioning their need and interest for website. Interested businesses will cover a significant cost share in the </w:t>
      </w:r>
      <w:r w:rsidRPr="002F3F89">
        <w:rPr>
          <w:color w:val="000000"/>
        </w:rPr>
        <w:t xml:space="preserve">below </w:t>
      </w:r>
      <w:r w:rsidR="00F15731" w:rsidRPr="002F3F89">
        <w:rPr>
          <w:color w:val="000000"/>
        </w:rPr>
        <w:t>mentioned activities</w:t>
      </w:r>
      <w:r w:rsidRPr="002F3F89">
        <w:rPr>
          <w:color w:val="000000"/>
        </w:rPr>
        <w:t xml:space="preserve"> with RADP-E covering the remaining costs</w:t>
      </w:r>
      <w:r w:rsidR="00F15731" w:rsidRPr="002F3F89">
        <w:rPr>
          <w:color w:val="000000"/>
        </w:rPr>
        <w:t xml:space="preserve">. </w:t>
      </w:r>
      <w:r w:rsidR="00595999" w:rsidRPr="00595999">
        <w:rPr>
          <w:rFonts w:asciiTheme="minorHAnsi" w:hAnsiTheme="minorHAnsi"/>
        </w:rPr>
        <w:t>The cost share from the interested agribusinesses will be to hire a person who can maintain and update the website.</w:t>
      </w:r>
    </w:p>
    <w:p w14:paraId="222EA341" w14:textId="77777777" w:rsidR="00F15731" w:rsidRPr="002F3F89" w:rsidRDefault="00F15731" w:rsidP="00F15731">
      <w:pPr>
        <w:pStyle w:val="ListParagraph"/>
        <w:numPr>
          <w:ilvl w:val="0"/>
          <w:numId w:val="29"/>
        </w:numPr>
        <w:spacing w:after="100" w:line="240" w:lineRule="atLeast"/>
        <w:jc w:val="both"/>
        <w:rPr>
          <w:b/>
          <w:color w:val="000000"/>
        </w:rPr>
      </w:pPr>
      <w:r w:rsidRPr="002F3F89">
        <w:rPr>
          <w:b/>
          <w:color w:val="000000"/>
        </w:rPr>
        <w:t>Registration of Domain Name and Web-Hosting</w:t>
      </w:r>
    </w:p>
    <w:p w14:paraId="7239BC64" w14:textId="77777777" w:rsidR="00F15731" w:rsidRPr="002F3F89" w:rsidRDefault="00F15731" w:rsidP="00F15731">
      <w:pPr>
        <w:spacing w:after="100" w:line="240" w:lineRule="atLeast"/>
        <w:jc w:val="both"/>
        <w:rPr>
          <w:color w:val="000000"/>
        </w:rPr>
      </w:pPr>
      <w:r w:rsidRPr="002F3F89">
        <w:rPr>
          <w:color w:val="000000"/>
        </w:rPr>
        <w:t>In consultation with the agribusinesses, the service provider will choose an attractive and suitable domain name and will register for an advance hosting package which may include 7-10 GB space; 30 GB bandwidth per month; 10 FTP account; 20 MYSQL DB; POP3/IMAP/Webmail; PHP/MYSQL Support; and 24X7 Support.</w:t>
      </w:r>
    </w:p>
    <w:p w14:paraId="2BFD48FB" w14:textId="77777777" w:rsidR="00F15731" w:rsidRPr="002F3F89" w:rsidRDefault="00F15731" w:rsidP="00F15731">
      <w:pPr>
        <w:pStyle w:val="ListParagraph"/>
        <w:numPr>
          <w:ilvl w:val="0"/>
          <w:numId w:val="29"/>
        </w:numPr>
        <w:spacing w:before="120" w:after="100" w:line="240" w:lineRule="atLeast"/>
        <w:jc w:val="both"/>
        <w:rPr>
          <w:b/>
          <w:color w:val="000000"/>
        </w:rPr>
      </w:pPr>
      <w:r w:rsidRPr="002F3F89">
        <w:rPr>
          <w:b/>
          <w:color w:val="000000"/>
        </w:rPr>
        <w:t>Web-Designing and Adding Contents / Themes</w:t>
      </w:r>
    </w:p>
    <w:p w14:paraId="25C4E439" w14:textId="37D9D4B7" w:rsidR="000E2D7D" w:rsidRPr="002F3F89" w:rsidRDefault="00F15731" w:rsidP="00E91AFC">
      <w:pPr>
        <w:spacing w:after="100" w:line="240" w:lineRule="atLeast"/>
        <w:jc w:val="both"/>
        <w:rPr>
          <w:color w:val="000000"/>
        </w:rPr>
      </w:pPr>
      <w:r w:rsidRPr="002F3F89">
        <w:rPr>
          <w:color w:val="000000"/>
        </w:rPr>
        <w:t xml:space="preserve">The service provider will design </w:t>
      </w:r>
      <w:r w:rsidR="00503D29" w:rsidRPr="002F3F89">
        <w:rPr>
          <w:color w:val="000000"/>
        </w:rPr>
        <w:t xml:space="preserve">the </w:t>
      </w:r>
      <w:r w:rsidRPr="002F3F89">
        <w:rPr>
          <w:color w:val="000000"/>
        </w:rPr>
        <w:t xml:space="preserve">website by installing Word Press in a </w:t>
      </w:r>
      <w:r w:rsidR="00503D29" w:rsidRPr="002F3F89">
        <w:rPr>
          <w:color w:val="000000"/>
        </w:rPr>
        <w:t>user-friendly</w:t>
      </w:r>
      <w:r w:rsidRPr="002F3F89">
        <w:rPr>
          <w:color w:val="000000"/>
        </w:rPr>
        <w:t xml:space="preserve"> way so that agribusinesses are able to </w:t>
      </w:r>
      <w:r w:rsidR="00503D29" w:rsidRPr="002F3F89">
        <w:rPr>
          <w:color w:val="000000"/>
        </w:rPr>
        <w:t xml:space="preserve">manage and </w:t>
      </w:r>
      <w:r w:rsidRPr="002F3F89">
        <w:rPr>
          <w:color w:val="000000"/>
        </w:rPr>
        <w:t xml:space="preserve">customize it </w:t>
      </w:r>
      <w:r w:rsidR="00503D29" w:rsidRPr="002F3F89">
        <w:rPr>
          <w:color w:val="000000"/>
        </w:rPr>
        <w:t>over time</w:t>
      </w:r>
      <w:r w:rsidRPr="002F3F89">
        <w:rPr>
          <w:color w:val="000000"/>
        </w:rPr>
        <w:t xml:space="preserve">. Both </w:t>
      </w:r>
      <w:r w:rsidR="00503D29" w:rsidRPr="002F3F89">
        <w:rPr>
          <w:color w:val="000000"/>
        </w:rPr>
        <w:t>the agribusiness</w:t>
      </w:r>
      <w:r w:rsidRPr="002F3F89">
        <w:rPr>
          <w:color w:val="000000"/>
        </w:rPr>
        <w:t xml:space="preserve"> and service provider wil</w:t>
      </w:r>
      <w:r w:rsidR="00503D29" w:rsidRPr="002F3F89">
        <w:rPr>
          <w:color w:val="000000"/>
        </w:rPr>
        <w:t>l work together and add content</w:t>
      </w:r>
      <w:r w:rsidRPr="002F3F89">
        <w:rPr>
          <w:color w:val="000000"/>
        </w:rPr>
        <w:t xml:space="preserve"> to </w:t>
      </w:r>
      <w:r w:rsidR="00503D29" w:rsidRPr="002F3F89">
        <w:rPr>
          <w:color w:val="000000"/>
        </w:rPr>
        <w:t xml:space="preserve">the </w:t>
      </w:r>
      <w:r w:rsidRPr="002F3F89">
        <w:rPr>
          <w:color w:val="000000"/>
        </w:rPr>
        <w:t xml:space="preserve">website so that it matches the expectation of RADP-E and </w:t>
      </w:r>
      <w:r w:rsidR="00503D29" w:rsidRPr="002F3F89">
        <w:rPr>
          <w:color w:val="000000"/>
        </w:rPr>
        <w:t xml:space="preserve">the </w:t>
      </w:r>
      <w:r w:rsidRPr="002F3F89">
        <w:rPr>
          <w:color w:val="000000"/>
        </w:rPr>
        <w:t>agribusinesses. This stage will also include a one-day mentorship to the agribusinesses on using, customizing and editing website based on the needs.</w:t>
      </w:r>
    </w:p>
    <w:p w14:paraId="0A77FC34" w14:textId="07B808B8" w:rsidR="000E2D7D" w:rsidRPr="002F3F89" w:rsidRDefault="000E2D7D" w:rsidP="000E2D7D">
      <w:pPr>
        <w:pStyle w:val="ListParagraph"/>
        <w:numPr>
          <w:ilvl w:val="0"/>
          <w:numId w:val="28"/>
        </w:numPr>
        <w:spacing w:before="60" w:afterLines="60" w:after="144" w:line="240" w:lineRule="auto"/>
        <w:ind w:left="360"/>
        <w:jc w:val="both"/>
        <w:rPr>
          <w:b/>
          <w:color w:val="000000"/>
        </w:rPr>
      </w:pPr>
      <w:r w:rsidRPr="002F3F89">
        <w:rPr>
          <w:b/>
          <w:color w:val="000000"/>
        </w:rPr>
        <w:t>Provision of Services in Product Design Improvement for Agribusinesses</w:t>
      </w:r>
    </w:p>
    <w:p w14:paraId="38130280" w14:textId="58C40E9D" w:rsidR="000E2D7D" w:rsidRPr="002F3F89" w:rsidRDefault="000E2D7D" w:rsidP="000E2D7D">
      <w:pPr>
        <w:spacing w:after="100" w:line="240" w:lineRule="auto"/>
        <w:jc w:val="both"/>
        <w:rPr>
          <w:color w:val="000000"/>
        </w:rPr>
      </w:pPr>
      <w:r w:rsidRPr="002F3F89">
        <w:rPr>
          <w:color w:val="000000"/>
        </w:rPr>
        <w:t xml:space="preserve">Product branding and design of promotional materials is one of the core activities a business must possess in order to effectively project their business to clients and customers. </w:t>
      </w:r>
    </w:p>
    <w:p w14:paraId="4C53B766" w14:textId="49648595" w:rsidR="000E2D7D" w:rsidRPr="002F3F89" w:rsidRDefault="000E2D7D" w:rsidP="000E2D7D">
      <w:pPr>
        <w:spacing w:after="100" w:line="240" w:lineRule="atLeast"/>
        <w:jc w:val="both"/>
        <w:rPr>
          <w:color w:val="000000"/>
        </w:rPr>
      </w:pPr>
      <w:r w:rsidRPr="002F3F89">
        <w:rPr>
          <w:color w:val="000000"/>
        </w:rPr>
        <w:t>RADP-E will require services from a service provider to assist RADP-E clients in the design of company Logo’s and other promotional items (Labels, Business Card, Stand / Back Stage Banners, Brochures, Flyer / Poster, Stamp, Sign Board containing company name).  The design of these materials in most cases will have three languages English, Dari and Pashto (to be outlined in the Purchase Order). The selected service provider is required to meet with the business to discuss and collect the necessary information and design the mentioned materials. It will be the responsibility of the business to pay for any printing or publication of prepared materials. The role of the service provider is in design, graphics and layout with ownership of any designs, graphics and layout going to the business.</w:t>
      </w:r>
    </w:p>
    <w:p w14:paraId="31B511C8" w14:textId="77777777" w:rsidR="000E2D7D" w:rsidRPr="002F3F89" w:rsidRDefault="000E2D7D" w:rsidP="00F15731">
      <w:pPr>
        <w:spacing w:after="100" w:line="240" w:lineRule="atLeast"/>
        <w:jc w:val="both"/>
        <w:rPr>
          <w:color w:val="000000"/>
        </w:rPr>
      </w:pPr>
    </w:p>
    <w:p w14:paraId="39FB7A76" w14:textId="77777777" w:rsidR="000E2D7D" w:rsidRPr="002F3F89" w:rsidRDefault="000E2D7D" w:rsidP="00F15731">
      <w:pPr>
        <w:spacing w:after="100" w:line="240" w:lineRule="atLeast"/>
        <w:jc w:val="both"/>
        <w:rPr>
          <w:color w:val="000000"/>
        </w:rPr>
      </w:pPr>
    </w:p>
    <w:p w14:paraId="396042DF" w14:textId="77777777" w:rsidR="00F15731" w:rsidRPr="002F3F89" w:rsidRDefault="00F15731" w:rsidP="00F15731">
      <w:pPr>
        <w:spacing w:after="100"/>
        <w:contextualSpacing/>
        <w:jc w:val="both"/>
        <w:rPr>
          <w:b/>
          <w:color w:val="000000"/>
        </w:rPr>
      </w:pPr>
      <w:r w:rsidRPr="002F3F89">
        <w:rPr>
          <w:b/>
          <w:color w:val="000000"/>
        </w:rPr>
        <w:t>Eligibility Criteria for Business Service Providers</w:t>
      </w:r>
    </w:p>
    <w:p w14:paraId="3CF2315D" w14:textId="77777777" w:rsidR="00F15731" w:rsidRPr="002F3F89" w:rsidRDefault="00F15731" w:rsidP="00F15731">
      <w:pPr>
        <w:pStyle w:val="ListParagraph"/>
        <w:numPr>
          <w:ilvl w:val="0"/>
          <w:numId w:val="30"/>
        </w:numPr>
        <w:spacing w:after="0" w:line="240" w:lineRule="auto"/>
        <w:jc w:val="both"/>
        <w:rPr>
          <w:color w:val="000000"/>
        </w:rPr>
      </w:pPr>
      <w:bookmarkStart w:id="3" w:name="_Hlk535760080"/>
      <w:r w:rsidRPr="002F3F89">
        <w:rPr>
          <w:color w:val="000000"/>
        </w:rPr>
        <w:t xml:space="preserve">Be a legally registered Afghan business and service provider/ consultancy firm; </w:t>
      </w:r>
    </w:p>
    <w:p w14:paraId="325C9A26" w14:textId="77777777" w:rsidR="00F15731" w:rsidRPr="002F3F89" w:rsidRDefault="00F15731" w:rsidP="00F15731">
      <w:pPr>
        <w:pStyle w:val="ListParagraph"/>
        <w:numPr>
          <w:ilvl w:val="0"/>
          <w:numId w:val="30"/>
        </w:numPr>
        <w:spacing w:after="0" w:line="240" w:lineRule="auto"/>
        <w:jc w:val="both"/>
        <w:rPr>
          <w:color w:val="000000"/>
        </w:rPr>
      </w:pPr>
      <w:r w:rsidRPr="002F3F89">
        <w:rPr>
          <w:color w:val="000000"/>
        </w:rPr>
        <w:t>Be operational in the RADP-E target area (</w:t>
      </w:r>
      <w:bookmarkStart w:id="4" w:name="_Hlk535760638"/>
      <w:r w:rsidRPr="002F3F89">
        <w:rPr>
          <w:color w:val="000000"/>
        </w:rPr>
        <w:t>Kabul, Parwan, Kapisa, Logar, Wardak, Ghazni, Laghman and Nangarhar</w:t>
      </w:r>
      <w:bookmarkEnd w:id="4"/>
      <w:r w:rsidRPr="002F3F89">
        <w:rPr>
          <w:color w:val="000000"/>
        </w:rPr>
        <w:t>);</w:t>
      </w:r>
    </w:p>
    <w:p w14:paraId="259263B8" w14:textId="77777777" w:rsidR="00F15731" w:rsidRPr="002F3F89" w:rsidRDefault="00F15731" w:rsidP="00F15731">
      <w:pPr>
        <w:pStyle w:val="ListParagraph"/>
        <w:numPr>
          <w:ilvl w:val="0"/>
          <w:numId w:val="30"/>
        </w:numPr>
        <w:spacing w:after="0" w:line="240" w:lineRule="auto"/>
        <w:jc w:val="both"/>
        <w:rPr>
          <w:color w:val="000000"/>
        </w:rPr>
      </w:pPr>
      <w:r w:rsidRPr="002F3F89">
        <w:rPr>
          <w:color w:val="000000"/>
        </w:rPr>
        <w:t>Have sufficient financial resources to implement activities;</w:t>
      </w:r>
    </w:p>
    <w:p w14:paraId="7C08615B" w14:textId="77777777" w:rsidR="00F15731" w:rsidRPr="002F3F89" w:rsidRDefault="00F15731" w:rsidP="00F15731">
      <w:pPr>
        <w:pStyle w:val="ListParagraph"/>
        <w:numPr>
          <w:ilvl w:val="0"/>
          <w:numId w:val="30"/>
        </w:numPr>
        <w:spacing w:after="0" w:line="240" w:lineRule="auto"/>
        <w:jc w:val="both"/>
        <w:rPr>
          <w:color w:val="000000"/>
        </w:rPr>
      </w:pPr>
      <w:r w:rsidRPr="002F3F89">
        <w:rPr>
          <w:color w:val="000000"/>
        </w:rPr>
        <w:t>Currently engaged in providing business development services and has proven technical experience and knowledge in the area of interest;</w:t>
      </w:r>
    </w:p>
    <w:p w14:paraId="688BE641" w14:textId="77777777" w:rsidR="00F15731" w:rsidRPr="002F3F89" w:rsidRDefault="00F15731" w:rsidP="00F15731">
      <w:pPr>
        <w:pStyle w:val="ListParagraph"/>
        <w:numPr>
          <w:ilvl w:val="0"/>
          <w:numId w:val="30"/>
        </w:numPr>
        <w:spacing w:after="0" w:line="240" w:lineRule="auto"/>
        <w:jc w:val="both"/>
        <w:rPr>
          <w:color w:val="000000"/>
        </w:rPr>
      </w:pPr>
      <w:r w:rsidRPr="002F3F89">
        <w:rPr>
          <w:color w:val="000000"/>
        </w:rPr>
        <w:t xml:space="preserve">Be innovative in designing and implementing activities mentioned above; </w:t>
      </w:r>
    </w:p>
    <w:p w14:paraId="5A0D31BD" w14:textId="77777777" w:rsidR="00F15731" w:rsidRPr="002F3F89" w:rsidRDefault="00F15731" w:rsidP="00F15731">
      <w:pPr>
        <w:pStyle w:val="ListParagraph"/>
        <w:numPr>
          <w:ilvl w:val="0"/>
          <w:numId w:val="30"/>
        </w:numPr>
        <w:spacing w:after="0" w:line="240" w:lineRule="auto"/>
        <w:jc w:val="both"/>
        <w:rPr>
          <w:color w:val="000000"/>
        </w:rPr>
      </w:pPr>
      <w:r w:rsidRPr="002F3F89">
        <w:rPr>
          <w:color w:val="000000"/>
        </w:rPr>
        <w:t>Have sufficient human resource in administration and has the tendency to hire and connections with technical and qualified staff for business development services provision; and</w:t>
      </w:r>
    </w:p>
    <w:p w14:paraId="473A0F9A" w14:textId="77777777" w:rsidR="00F15731" w:rsidRPr="002F3F89" w:rsidRDefault="00F15731" w:rsidP="00F15731">
      <w:pPr>
        <w:pStyle w:val="ListParagraph"/>
        <w:numPr>
          <w:ilvl w:val="0"/>
          <w:numId w:val="30"/>
        </w:numPr>
        <w:spacing w:before="60" w:afterLines="60" w:after="144" w:line="240" w:lineRule="atLeast"/>
        <w:jc w:val="both"/>
        <w:rPr>
          <w:color w:val="000000"/>
        </w:rPr>
      </w:pPr>
      <w:r w:rsidRPr="002F3F89">
        <w:rPr>
          <w:color w:val="000000"/>
        </w:rPr>
        <w:t>The organization must be operating for at least 2 years in the provision of business services.</w:t>
      </w:r>
    </w:p>
    <w:bookmarkEnd w:id="3"/>
    <w:p w14:paraId="49B12E13" w14:textId="77777777" w:rsidR="00536B5C" w:rsidRDefault="00536B5C">
      <w:pPr>
        <w:spacing w:after="0" w:line="240" w:lineRule="auto"/>
        <w:rPr>
          <w:rFonts w:asciiTheme="minorHAnsi" w:hAnsiTheme="minorHAnsi"/>
        </w:rPr>
        <w:sectPr w:rsidR="00536B5C" w:rsidSect="008F002B">
          <w:pgSz w:w="12240" w:h="15840" w:code="1"/>
          <w:pgMar w:top="1440" w:right="1440" w:bottom="1440" w:left="1440" w:header="720" w:footer="720" w:gutter="0"/>
          <w:cols w:space="720"/>
          <w:docGrid w:linePitch="360"/>
        </w:sectPr>
      </w:pPr>
      <w:r w:rsidRPr="002F3F89">
        <w:rPr>
          <w:color w:val="000000"/>
        </w:rPr>
        <w:br w:type="page"/>
      </w:r>
      <w:bookmarkStart w:id="5" w:name="_GoBack"/>
      <w:bookmarkEnd w:id="5"/>
    </w:p>
    <w:p w14:paraId="5F08966F" w14:textId="060193CD" w:rsidR="000E2D7D" w:rsidRPr="00BD415D" w:rsidRDefault="000E2D7D" w:rsidP="000E2D7D">
      <w:pPr>
        <w:pStyle w:val="Heading2"/>
        <w:spacing w:before="120" w:line="240" w:lineRule="auto"/>
        <w:ind w:left="756"/>
        <w:rPr>
          <w:color w:val="2E74B5" w:themeColor="accent1" w:themeShade="BF"/>
        </w:rPr>
      </w:pPr>
      <w:bookmarkStart w:id="6" w:name="_Toc371432605"/>
      <w:r w:rsidRPr="00BD415D">
        <w:rPr>
          <w:color w:val="2E74B5" w:themeColor="accent1" w:themeShade="BF"/>
        </w:rPr>
        <w:lastRenderedPageBreak/>
        <w:t>Attachment</w:t>
      </w:r>
      <w:r w:rsidR="00536B5C" w:rsidRPr="00BD415D">
        <w:rPr>
          <w:color w:val="2E74B5" w:themeColor="accent1" w:themeShade="BF"/>
        </w:rPr>
        <w:t xml:space="preserve"> C</w:t>
      </w:r>
      <w:r w:rsidRPr="00BD415D">
        <w:rPr>
          <w:color w:val="2E74B5" w:themeColor="accent1" w:themeShade="BF"/>
        </w:rPr>
        <w:t>: Past Performance Form</w:t>
      </w:r>
      <w:bookmarkEnd w:id="6"/>
    </w:p>
    <w:p w14:paraId="67801B21" w14:textId="77777777" w:rsidR="000E2D7D" w:rsidRPr="008C5B96" w:rsidRDefault="000E2D7D" w:rsidP="000E2D7D">
      <w:r w:rsidRPr="008C5B96">
        <w:t xml:space="preserve">Include projects that best illustrate your work experience relevant to this RFP, sorted by decreasing order of completion date. </w:t>
      </w:r>
    </w:p>
    <w:p w14:paraId="389DB607" w14:textId="77777777" w:rsidR="000E2D7D" w:rsidRPr="008C5B96" w:rsidRDefault="000E2D7D" w:rsidP="000E2D7D">
      <w:r w:rsidRPr="008C5B96">
        <w:t>Projects should have been undertaken in the past three years. Projects undertaken in the past six years may be taken into consideration at the discretion of the evaluation committee.</w:t>
      </w:r>
    </w:p>
    <w:tbl>
      <w:tblPr>
        <w:tblW w:w="1375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15"/>
        <w:gridCol w:w="1115"/>
        <w:gridCol w:w="1948"/>
        <w:gridCol w:w="1514"/>
        <w:gridCol w:w="1201"/>
        <w:gridCol w:w="1101"/>
        <w:gridCol w:w="1148"/>
        <w:gridCol w:w="1348"/>
        <w:gridCol w:w="1525"/>
        <w:gridCol w:w="2240"/>
      </w:tblGrid>
      <w:tr w:rsidR="000E2D7D" w:rsidRPr="00946916" w14:paraId="350B56E5" w14:textId="77777777" w:rsidTr="00E91AFC">
        <w:trPr>
          <w:trHeight w:val="1320"/>
          <w:jc w:val="center"/>
        </w:trPr>
        <w:tc>
          <w:tcPr>
            <w:tcW w:w="615" w:type="dxa"/>
            <w:tcBorders>
              <w:top w:val="single" w:sz="12" w:space="0" w:color="auto"/>
              <w:bottom w:val="single" w:sz="12" w:space="0" w:color="auto"/>
              <w:right w:val="single" w:sz="12" w:space="0" w:color="auto"/>
            </w:tcBorders>
          </w:tcPr>
          <w:p w14:paraId="155CF9BF" w14:textId="46C1B823" w:rsidR="000E2D7D" w:rsidRPr="00946916" w:rsidRDefault="00E91AFC" w:rsidP="003D28CA">
            <w:r>
              <w:t>S/N</w:t>
            </w:r>
          </w:p>
        </w:tc>
        <w:tc>
          <w:tcPr>
            <w:tcW w:w="1115" w:type="dxa"/>
            <w:tcBorders>
              <w:top w:val="single" w:sz="12" w:space="0" w:color="auto"/>
              <w:left w:val="single" w:sz="12" w:space="0" w:color="auto"/>
              <w:bottom w:val="single" w:sz="12" w:space="0" w:color="auto"/>
              <w:right w:val="single" w:sz="12" w:space="0" w:color="auto"/>
            </w:tcBorders>
          </w:tcPr>
          <w:p w14:paraId="2AE5C7A4" w14:textId="77777777" w:rsidR="000E2D7D" w:rsidRPr="00946916" w:rsidRDefault="000E2D7D" w:rsidP="003D28CA">
            <w:r w:rsidRPr="00946916">
              <w:t xml:space="preserve">Project Title </w:t>
            </w:r>
          </w:p>
        </w:tc>
        <w:tc>
          <w:tcPr>
            <w:tcW w:w="1948" w:type="dxa"/>
            <w:tcBorders>
              <w:top w:val="single" w:sz="12" w:space="0" w:color="auto"/>
              <w:left w:val="single" w:sz="12" w:space="0" w:color="auto"/>
              <w:bottom w:val="single" w:sz="12" w:space="0" w:color="auto"/>
              <w:right w:val="single" w:sz="12" w:space="0" w:color="auto"/>
            </w:tcBorders>
          </w:tcPr>
          <w:p w14:paraId="4C289B58" w14:textId="77777777" w:rsidR="000E2D7D" w:rsidRPr="00946916" w:rsidRDefault="000E2D7D" w:rsidP="003D28CA">
            <w:r w:rsidRPr="00946916">
              <w:t>Description of Activities</w:t>
            </w:r>
          </w:p>
        </w:tc>
        <w:tc>
          <w:tcPr>
            <w:tcW w:w="1514" w:type="dxa"/>
            <w:tcBorders>
              <w:top w:val="single" w:sz="12" w:space="0" w:color="auto"/>
              <w:left w:val="single" w:sz="12" w:space="0" w:color="auto"/>
              <w:bottom w:val="single" w:sz="12" w:space="0" w:color="auto"/>
              <w:right w:val="single" w:sz="12" w:space="0" w:color="auto"/>
            </w:tcBorders>
          </w:tcPr>
          <w:p w14:paraId="4CDC64B9" w14:textId="77777777" w:rsidR="000E2D7D" w:rsidRPr="00946916" w:rsidRDefault="000E2D7D" w:rsidP="003D28CA">
            <w:r w:rsidRPr="00946916">
              <w:t>Location</w:t>
            </w:r>
          </w:p>
          <w:p w14:paraId="3E10DA4F" w14:textId="77777777" w:rsidR="000E2D7D" w:rsidRPr="00946916" w:rsidRDefault="000E2D7D" w:rsidP="003D28CA">
            <w:r w:rsidRPr="00946916">
              <w:t>Province/</w:t>
            </w:r>
          </w:p>
          <w:p w14:paraId="2793DF05" w14:textId="77777777" w:rsidR="000E2D7D" w:rsidRPr="00946916" w:rsidRDefault="000E2D7D" w:rsidP="003D28CA">
            <w:r w:rsidRPr="00946916">
              <w:t>District</w:t>
            </w:r>
          </w:p>
        </w:tc>
        <w:tc>
          <w:tcPr>
            <w:tcW w:w="1201" w:type="dxa"/>
            <w:tcBorders>
              <w:top w:val="single" w:sz="12" w:space="0" w:color="auto"/>
              <w:left w:val="single" w:sz="12" w:space="0" w:color="auto"/>
              <w:bottom w:val="single" w:sz="12" w:space="0" w:color="auto"/>
              <w:right w:val="single" w:sz="12" w:space="0" w:color="auto"/>
            </w:tcBorders>
          </w:tcPr>
          <w:p w14:paraId="6EDF7FE1" w14:textId="77777777" w:rsidR="000E2D7D" w:rsidRPr="00946916" w:rsidRDefault="000E2D7D" w:rsidP="003D28CA">
            <w:r w:rsidRPr="00946916">
              <w:t xml:space="preserve">Client </w:t>
            </w:r>
          </w:p>
          <w:p w14:paraId="0F39DC5E" w14:textId="77777777" w:rsidR="000E2D7D" w:rsidRPr="00946916" w:rsidRDefault="000E2D7D" w:rsidP="003D28CA">
            <w:r w:rsidRPr="00946916">
              <w:t xml:space="preserve">Name/Tel No </w:t>
            </w:r>
          </w:p>
        </w:tc>
        <w:tc>
          <w:tcPr>
            <w:tcW w:w="1101" w:type="dxa"/>
            <w:tcBorders>
              <w:top w:val="single" w:sz="12" w:space="0" w:color="auto"/>
              <w:left w:val="single" w:sz="12" w:space="0" w:color="auto"/>
              <w:bottom w:val="single" w:sz="12" w:space="0" w:color="auto"/>
              <w:right w:val="single" w:sz="12" w:space="0" w:color="auto"/>
            </w:tcBorders>
          </w:tcPr>
          <w:p w14:paraId="39C7BEEA" w14:textId="77777777" w:rsidR="000E2D7D" w:rsidRPr="00946916" w:rsidRDefault="000E2D7D" w:rsidP="003D28CA">
            <w:r w:rsidRPr="00946916">
              <w:t>Cost in US$</w:t>
            </w:r>
          </w:p>
          <w:p w14:paraId="3EF3FCC3" w14:textId="77777777" w:rsidR="000E2D7D" w:rsidRPr="00946916" w:rsidRDefault="000E2D7D" w:rsidP="003D28CA"/>
        </w:tc>
        <w:tc>
          <w:tcPr>
            <w:tcW w:w="1148" w:type="dxa"/>
            <w:tcBorders>
              <w:top w:val="single" w:sz="12" w:space="0" w:color="auto"/>
              <w:left w:val="single" w:sz="12" w:space="0" w:color="auto"/>
              <w:bottom w:val="single" w:sz="12" w:space="0" w:color="auto"/>
              <w:right w:val="single" w:sz="12" w:space="0" w:color="auto"/>
            </w:tcBorders>
          </w:tcPr>
          <w:p w14:paraId="313491F1" w14:textId="77777777" w:rsidR="000E2D7D" w:rsidRPr="00946916" w:rsidRDefault="000E2D7D" w:rsidP="003D28CA">
            <w:r w:rsidRPr="00946916">
              <w:t>Start-End</w:t>
            </w:r>
          </w:p>
          <w:p w14:paraId="48CFA0DE" w14:textId="77777777" w:rsidR="000E2D7D" w:rsidRPr="00946916" w:rsidRDefault="000E2D7D" w:rsidP="003D28CA">
            <w:r w:rsidRPr="00946916">
              <w:t>Dates</w:t>
            </w:r>
          </w:p>
          <w:p w14:paraId="605B4814" w14:textId="77777777" w:rsidR="000E2D7D" w:rsidRPr="00946916" w:rsidRDefault="000E2D7D" w:rsidP="003D28CA"/>
        </w:tc>
        <w:tc>
          <w:tcPr>
            <w:tcW w:w="1348" w:type="dxa"/>
            <w:tcBorders>
              <w:top w:val="single" w:sz="12" w:space="0" w:color="auto"/>
              <w:left w:val="single" w:sz="12" w:space="0" w:color="auto"/>
              <w:bottom w:val="single" w:sz="12" w:space="0" w:color="auto"/>
              <w:right w:val="single" w:sz="12" w:space="0" w:color="auto"/>
            </w:tcBorders>
          </w:tcPr>
          <w:p w14:paraId="28E90288" w14:textId="77777777" w:rsidR="000E2D7D" w:rsidRPr="00946916" w:rsidRDefault="000E2D7D" w:rsidP="003D28CA">
            <w:r w:rsidRPr="00946916">
              <w:t>Completed on schedule</w:t>
            </w:r>
          </w:p>
          <w:p w14:paraId="0E12D807" w14:textId="77777777" w:rsidR="000E2D7D" w:rsidRPr="00946916" w:rsidRDefault="000E2D7D" w:rsidP="003D28CA">
            <w:r w:rsidRPr="00946916">
              <w:t xml:space="preserve"> (Yes/No)</w:t>
            </w:r>
          </w:p>
        </w:tc>
        <w:tc>
          <w:tcPr>
            <w:tcW w:w="1525" w:type="dxa"/>
            <w:tcBorders>
              <w:top w:val="single" w:sz="12" w:space="0" w:color="auto"/>
              <w:left w:val="single" w:sz="12" w:space="0" w:color="auto"/>
              <w:bottom w:val="single" w:sz="12" w:space="0" w:color="auto"/>
            </w:tcBorders>
          </w:tcPr>
          <w:p w14:paraId="03F63600" w14:textId="77777777" w:rsidR="000E2D7D" w:rsidRPr="00946916" w:rsidRDefault="000E2D7D" w:rsidP="003D28CA">
            <w:r w:rsidRPr="00946916">
              <w:t>Completion Letter Received?</w:t>
            </w:r>
          </w:p>
          <w:p w14:paraId="17824CFC" w14:textId="77777777" w:rsidR="000E2D7D" w:rsidRPr="00946916" w:rsidRDefault="000E2D7D" w:rsidP="003D28CA">
            <w:r w:rsidRPr="00946916">
              <w:t>(Yes/No)</w:t>
            </w:r>
          </w:p>
        </w:tc>
        <w:tc>
          <w:tcPr>
            <w:tcW w:w="2240" w:type="dxa"/>
            <w:tcBorders>
              <w:top w:val="single" w:sz="12" w:space="0" w:color="auto"/>
              <w:left w:val="single" w:sz="12" w:space="0" w:color="auto"/>
              <w:bottom w:val="single" w:sz="12" w:space="0" w:color="auto"/>
            </w:tcBorders>
          </w:tcPr>
          <w:p w14:paraId="54D2C639" w14:textId="4CAFF65C" w:rsidR="000E2D7D" w:rsidRPr="00BD415D" w:rsidRDefault="000E2D7D" w:rsidP="00434693">
            <w:r w:rsidRPr="00946916">
              <w:t>Type of Agreement, Subcontract, Grant, PO (fixed price, cost reimbursable)</w:t>
            </w:r>
          </w:p>
        </w:tc>
      </w:tr>
      <w:tr w:rsidR="000E2D7D" w:rsidRPr="00946916" w14:paraId="3876206A" w14:textId="77777777" w:rsidTr="00E91AFC">
        <w:trPr>
          <w:trHeight w:val="285"/>
          <w:jc w:val="center"/>
        </w:trPr>
        <w:tc>
          <w:tcPr>
            <w:tcW w:w="615" w:type="dxa"/>
            <w:tcBorders>
              <w:top w:val="single" w:sz="12" w:space="0" w:color="auto"/>
            </w:tcBorders>
          </w:tcPr>
          <w:p w14:paraId="0F114F09" w14:textId="77777777" w:rsidR="000E2D7D" w:rsidRPr="00946916" w:rsidRDefault="000E2D7D" w:rsidP="003D28CA">
            <w:r w:rsidRPr="00946916">
              <w:t>1</w:t>
            </w:r>
          </w:p>
        </w:tc>
        <w:tc>
          <w:tcPr>
            <w:tcW w:w="1115" w:type="dxa"/>
            <w:tcBorders>
              <w:top w:val="single" w:sz="12" w:space="0" w:color="auto"/>
            </w:tcBorders>
          </w:tcPr>
          <w:p w14:paraId="2611B675" w14:textId="77777777" w:rsidR="000E2D7D" w:rsidRPr="00946916" w:rsidRDefault="000E2D7D" w:rsidP="003D28CA"/>
          <w:p w14:paraId="10916419" w14:textId="77777777" w:rsidR="000E2D7D" w:rsidRPr="00946916" w:rsidRDefault="000E2D7D" w:rsidP="003D28CA"/>
        </w:tc>
        <w:tc>
          <w:tcPr>
            <w:tcW w:w="1948" w:type="dxa"/>
            <w:tcBorders>
              <w:top w:val="single" w:sz="12" w:space="0" w:color="auto"/>
            </w:tcBorders>
          </w:tcPr>
          <w:p w14:paraId="34B9D266" w14:textId="77777777" w:rsidR="000E2D7D" w:rsidRPr="00946916" w:rsidRDefault="000E2D7D" w:rsidP="003D28CA"/>
        </w:tc>
        <w:tc>
          <w:tcPr>
            <w:tcW w:w="1514" w:type="dxa"/>
            <w:tcBorders>
              <w:top w:val="single" w:sz="12" w:space="0" w:color="auto"/>
            </w:tcBorders>
          </w:tcPr>
          <w:p w14:paraId="57C95930" w14:textId="77777777" w:rsidR="000E2D7D" w:rsidRPr="00946916" w:rsidRDefault="000E2D7D" w:rsidP="003D28CA"/>
        </w:tc>
        <w:tc>
          <w:tcPr>
            <w:tcW w:w="1201" w:type="dxa"/>
            <w:tcBorders>
              <w:top w:val="single" w:sz="12" w:space="0" w:color="auto"/>
            </w:tcBorders>
          </w:tcPr>
          <w:p w14:paraId="626F60E0" w14:textId="77777777" w:rsidR="000E2D7D" w:rsidRPr="00946916" w:rsidRDefault="000E2D7D" w:rsidP="003D28CA"/>
        </w:tc>
        <w:tc>
          <w:tcPr>
            <w:tcW w:w="1101" w:type="dxa"/>
            <w:tcBorders>
              <w:top w:val="single" w:sz="12" w:space="0" w:color="auto"/>
            </w:tcBorders>
          </w:tcPr>
          <w:p w14:paraId="65E4546E" w14:textId="77777777" w:rsidR="000E2D7D" w:rsidRPr="00946916" w:rsidRDefault="000E2D7D" w:rsidP="003D28CA"/>
        </w:tc>
        <w:tc>
          <w:tcPr>
            <w:tcW w:w="1148" w:type="dxa"/>
            <w:tcBorders>
              <w:top w:val="single" w:sz="12" w:space="0" w:color="auto"/>
            </w:tcBorders>
          </w:tcPr>
          <w:p w14:paraId="0387DEC0" w14:textId="77777777" w:rsidR="000E2D7D" w:rsidRPr="00946916" w:rsidRDefault="000E2D7D" w:rsidP="003D28CA"/>
        </w:tc>
        <w:tc>
          <w:tcPr>
            <w:tcW w:w="1348" w:type="dxa"/>
            <w:tcBorders>
              <w:top w:val="single" w:sz="12" w:space="0" w:color="auto"/>
            </w:tcBorders>
          </w:tcPr>
          <w:p w14:paraId="0E79169D" w14:textId="77777777" w:rsidR="000E2D7D" w:rsidRPr="00946916" w:rsidRDefault="000E2D7D" w:rsidP="003D28CA"/>
        </w:tc>
        <w:tc>
          <w:tcPr>
            <w:tcW w:w="1525" w:type="dxa"/>
            <w:tcBorders>
              <w:top w:val="single" w:sz="12" w:space="0" w:color="auto"/>
            </w:tcBorders>
          </w:tcPr>
          <w:p w14:paraId="5665349D" w14:textId="77777777" w:rsidR="000E2D7D" w:rsidRPr="00946916" w:rsidRDefault="000E2D7D" w:rsidP="003D28CA"/>
        </w:tc>
        <w:tc>
          <w:tcPr>
            <w:tcW w:w="2240" w:type="dxa"/>
            <w:tcBorders>
              <w:top w:val="single" w:sz="12" w:space="0" w:color="auto"/>
            </w:tcBorders>
          </w:tcPr>
          <w:p w14:paraId="03A051FE" w14:textId="77777777" w:rsidR="000E2D7D" w:rsidRPr="00946916" w:rsidRDefault="000E2D7D" w:rsidP="003D28CA"/>
        </w:tc>
      </w:tr>
      <w:tr w:rsidR="000E2D7D" w:rsidRPr="00946916" w14:paraId="491146FD" w14:textId="77777777" w:rsidTr="00E91AFC">
        <w:trPr>
          <w:trHeight w:val="263"/>
          <w:jc w:val="center"/>
        </w:trPr>
        <w:tc>
          <w:tcPr>
            <w:tcW w:w="615" w:type="dxa"/>
          </w:tcPr>
          <w:p w14:paraId="26C6639E" w14:textId="77777777" w:rsidR="000E2D7D" w:rsidRPr="00946916" w:rsidRDefault="000E2D7D" w:rsidP="003D28CA">
            <w:r w:rsidRPr="00946916">
              <w:t>2</w:t>
            </w:r>
          </w:p>
        </w:tc>
        <w:tc>
          <w:tcPr>
            <w:tcW w:w="1115" w:type="dxa"/>
          </w:tcPr>
          <w:p w14:paraId="23E86776" w14:textId="77777777" w:rsidR="000E2D7D" w:rsidRPr="00946916" w:rsidRDefault="000E2D7D" w:rsidP="003D28CA"/>
          <w:p w14:paraId="25D5E326" w14:textId="77777777" w:rsidR="000E2D7D" w:rsidRPr="00946916" w:rsidRDefault="000E2D7D" w:rsidP="003D28CA"/>
        </w:tc>
        <w:tc>
          <w:tcPr>
            <w:tcW w:w="1948" w:type="dxa"/>
          </w:tcPr>
          <w:p w14:paraId="1977F502" w14:textId="77777777" w:rsidR="000E2D7D" w:rsidRPr="00946916" w:rsidRDefault="000E2D7D" w:rsidP="003D28CA"/>
        </w:tc>
        <w:tc>
          <w:tcPr>
            <w:tcW w:w="1514" w:type="dxa"/>
          </w:tcPr>
          <w:p w14:paraId="29FF1D27" w14:textId="77777777" w:rsidR="000E2D7D" w:rsidRPr="00946916" w:rsidRDefault="000E2D7D" w:rsidP="003D28CA"/>
        </w:tc>
        <w:tc>
          <w:tcPr>
            <w:tcW w:w="1201" w:type="dxa"/>
          </w:tcPr>
          <w:p w14:paraId="3B0E2953" w14:textId="77777777" w:rsidR="000E2D7D" w:rsidRPr="00946916" w:rsidRDefault="000E2D7D" w:rsidP="003D28CA"/>
        </w:tc>
        <w:tc>
          <w:tcPr>
            <w:tcW w:w="1101" w:type="dxa"/>
          </w:tcPr>
          <w:p w14:paraId="29542BEC" w14:textId="77777777" w:rsidR="000E2D7D" w:rsidRPr="00946916" w:rsidRDefault="000E2D7D" w:rsidP="003D28CA"/>
        </w:tc>
        <w:tc>
          <w:tcPr>
            <w:tcW w:w="1148" w:type="dxa"/>
          </w:tcPr>
          <w:p w14:paraId="1D25BD40" w14:textId="77777777" w:rsidR="000E2D7D" w:rsidRPr="00946916" w:rsidRDefault="000E2D7D" w:rsidP="003D28CA"/>
        </w:tc>
        <w:tc>
          <w:tcPr>
            <w:tcW w:w="1348" w:type="dxa"/>
          </w:tcPr>
          <w:p w14:paraId="4BDA02C9" w14:textId="77777777" w:rsidR="000E2D7D" w:rsidRPr="00946916" w:rsidRDefault="000E2D7D" w:rsidP="003D28CA"/>
        </w:tc>
        <w:tc>
          <w:tcPr>
            <w:tcW w:w="1525" w:type="dxa"/>
          </w:tcPr>
          <w:p w14:paraId="05A9BE40" w14:textId="77777777" w:rsidR="000E2D7D" w:rsidRPr="00946916" w:rsidRDefault="000E2D7D" w:rsidP="003D28CA"/>
        </w:tc>
        <w:tc>
          <w:tcPr>
            <w:tcW w:w="2240" w:type="dxa"/>
          </w:tcPr>
          <w:p w14:paraId="5BF45FEF" w14:textId="77777777" w:rsidR="000E2D7D" w:rsidRPr="00946916" w:rsidRDefault="000E2D7D" w:rsidP="003D28CA"/>
        </w:tc>
      </w:tr>
      <w:tr w:rsidR="000E2D7D" w:rsidRPr="00946916" w14:paraId="6805494C" w14:textId="77777777" w:rsidTr="00E91AFC">
        <w:trPr>
          <w:trHeight w:val="263"/>
          <w:jc w:val="center"/>
        </w:trPr>
        <w:tc>
          <w:tcPr>
            <w:tcW w:w="615" w:type="dxa"/>
          </w:tcPr>
          <w:p w14:paraId="36DD38B8" w14:textId="77777777" w:rsidR="000E2D7D" w:rsidRPr="00946916" w:rsidRDefault="000E2D7D" w:rsidP="003D28CA">
            <w:r w:rsidRPr="00946916">
              <w:t>3</w:t>
            </w:r>
          </w:p>
        </w:tc>
        <w:tc>
          <w:tcPr>
            <w:tcW w:w="1115" w:type="dxa"/>
          </w:tcPr>
          <w:p w14:paraId="5FD5B865" w14:textId="77777777" w:rsidR="000E2D7D" w:rsidRPr="00946916" w:rsidRDefault="000E2D7D" w:rsidP="003D28CA"/>
          <w:p w14:paraId="250FD475" w14:textId="77777777" w:rsidR="000E2D7D" w:rsidRPr="00946916" w:rsidRDefault="000E2D7D" w:rsidP="003D28CA"/>
        </w:tc>
        <w:tc>
          <w:tcPr>
            <w:tcW w:w="1948" w:type="dxa"/>
          </w:tcPr>
          <w:p w14:paraId="6B565735" w14:textId="77777777" w:rsidR="000E2D7D" w:rsidRPr="00946916" w:rsidRDefault="000E2D7D" w:rsidP="003D28CA"/>
        </w:tc>
        <w:tc>
          <w:tcPr>
            <w:tcW w:w="1514" w:type="dxa"/>
          </w:tcPr>
          <w:p w14:paraId="6A5C69C3" w14:textId="77777777" w:rsidR="000E2D7D" w:rsidRPr="00946916" w:rsidRDefault="000E2D7D" w:rsidP="003D28CA"/>
        </w:tc>
        <w:tc>
          <w:tcPr>
            <w:tcW w:w="1201" w:type="dxa"/>
          </w:tcPr>
          <w:p w14:paraId="7652520D" w14:textId="77777777" w:rsidR="000E2D7D" w:rsidRPr="00946916" w:rsidRDefault="000E2D7D" w:rsidP="003D28CA"/>
        </w:tc>
        <w:tc>
          <w:tcPr>
            <w:tcW w:w="1101" w:type="dxa"/>
          </w:tcPr>
          <w:p w14:paraId="4F22B25C" w14:textId="77777777" w:rsidR="000E2D7D" w:rsidRPr="00946916" w:rsidRDefault="000E2D7D" w:rsidP="003D28CA"/>
        </w:tc>
        <w:tc>
          <w:tcPr>
            <w:tcW w:w="1148" w:type="dxa"/>
          </w:tcPr>
          <w:p w14:paraId="01215429" w14:textId="77777777" w:rsidR="000E2D7D" w:rsidRPr="00946916" w:rsidRDefault="000E2D7D" w:rsidP="003D28CA"/>
        </w:tc>
        <w:tc>
          <w:tcPr>
            <w:tcW w:w="1348" w:type="dxa"/>
          </w:tcPr>
          <w:p w14:paraId="76A6491C" w14:textId="77777777" w:rsidR="000E2D7D" w:rsidRPr="00946916" w:rsidRDefault="000E2D7D" w:rsidP="003D28CA"/>
        </w:tc>
        <w:tc>
          <w:tcPr>
            <w:tcW w:w="1525" w:type="dxa"/>
          </w:tcPr>
          <w:p w14:paraId="644FBB6B" w14:textId="77777777" w:rsidR="000E2D7D" w:rsidRPr="00946916" w:rsidRDefault="000E2D7D" w:rsidP="003D28CA"/>
        </w:tc>
        <w:tc>
          <w:tcPr>
            <w:tcW w:w="2240" w:type="dxa"/>
          </w:tcPr>
          <w:p w14:paraId="61D5F42D" w14:textId="77777777" w:rsidR="000E2D7D" w:rsidRPr="00946916" w:rsidRDefault="000E2D7D" w:rsidP="003D28CA"/>
        </w:tc>
      </w:tr>
      <w:tr w:rsidR="000E2D7D" w:rsidRPr="00946916" w14:paraId="59A64140" w14:textId="77777777" w:rsidTr="00E91AFC">
        <w:trPr>
          <w:trHeight w:val="263"/>
          <w:jc w:val="center"/>
        </w:trPr>
        <w:tc>
          <w:tcPr>
            <w:tcW w:w="615" w:type="dxa"/>
          </w:tcPr>
          <w:p w14:paraId="2DD9D87B" w14:textId="77777777" w:rsidR="000E2D7D" w:rsidRPr="00946916" w:rsidRDefault="000E2D7D" w:rsidP="003D28CA">
            <w:r w:rsidRPr="00946916">
              <w:t>4</w:t>
            </w:r>
          </w:p>
        </w:tc>
        <w:tc>
          <w:tcPr>
            <w:tcW w:w="1115" w:type="dxa"/>
          </w:tcPr>
          <w:p w14:paraId="1952A16E" w14:textId="77777777" w:rsidR="000E2D7D" w:rsidRPr="00946916" w:rsidRDefault="000E2D7D" w:rsidP="003D28CA"/>
          <w:p w14:paraId="1207BC06" w14:textId="77777777" w:rsidR="000E2D7D" w:rsidRPr="00946916" w:rsidRDefault="000E2D7D" w:rsidP="003D28CA"/>
        </w:tc>
        <w:tc>
          <w:tcPr>
            <w:tcW w:w="1948" w:type="dxa"/>
          </w:tcPr>
          <w:p w14:paraId="4DC4FB76" w14:textId="77777777" w:rsidR="000E2D7D" w:rsidRPr="00946916" w:rsidRDefault="000E2D7D" w:rsidP="003D28CA"/>
        </w:tc>
        <w:tc>
          <w:tcPr>
            <w:tcW w:w="1514" w:type="dxa"/>
          </w:tcPr>
          <w:p w14:paraId="18EFAA12" w14:textId="77777777" w:rsidR="000E2D7D" w:rsidRPr="00946916" w:rsidRDefault="000E2D7D" w:rsidP="003D28CA"/>
        </w:tc>
        <w:tc>
          <w:tcPr>
            <w:tcW w:w="1201" w:type="dxa"/>
          </w:tcPr>
          <w:p w14:paraId="3D5C43F7" w14:textId="77777777" w:rsidR="000E2D7D" w:rsidRPr="00946916" w:rsidRDefault="000E2D7D" w:rsidP="003D28CA"/>
        </w:tc>
        <w:tc>
          <w:tcPr>
            <w:tcW w:w="1101" w:type="dxa"/>
          </w:tcPr>
          <w:p w14:paraId="17A822E4" w14:textId="77777777" w:rsidR="000E2D7D" w:rsidRPr="00946916" w:rsidRDefault="000E2D7D" w:rsidP="003D28CA"/>
        </w:tc>
        <w:tc>
          <w:tcPr>
            <w:tcW w:w="1148" w:type="dxa"/>
          </w:tcPr>
          <w:p w14:paraId="284F353C" w14:textId="77777777" w:rsidR="000E2D7D" w:rsidRPr="00946916" w:rsidRDefault="000E2D7D" w:rsidP="003D28CA"/>
        </w:tc>
        <w:tc>
          <w:tcPr>
            <w:tcW w:w="1348" w:type="dxa"/>
          </w:tcPr>
          <w:p w14:paraId="01B9FF50" w14:textId="77777777" w:rsidR="000E2D7D" w:rsidRPr="00946916" w:rsidRDefault="000E2D7D" w:rsidP="003D28CA"/>
        </w:tc>
        <w:tc>
          <w:tcPr>
            <w:tcW w:w="1525" w:type="dxa"/>
          </w:tcPr>
          <w:p w14:paraId="57846299" w14:textId="77777777" w:rsidR="000E2D7D" w:rsidRPr="00946916" w:rsidRDefault="000E2D7D" w:rsidP="003D28CA"/>
        </w:tc>
        <w:tc>
          <w:tcPr>
            <w:tcW w:w="2240" w:type="dxa"/>
          </w:tcPr>
          <w:p w14:paraId="0CC76CD1" w14:textId="77777777" w:rsidR="000E2D7D" w:rsidRPr="00946916" w:rsidRDefault="000E2D7D" w:rsidP="003D28CA"/>
        </w:tc>
      </w:tr>
      <w:tr w:rsidR="000E2D7D" w:rsidRPr="00946916" w14:paraId="37CA30F9" w14:textId="77777777" w:rsidTr="00E91AFC">
        <w:trPr>
          <w:trHeight w:val="480"/>
          <w:jc w:val="center"/>
        </w:trPr>
        <w:tc>
          <w:tcPr>
            <w:tcW w:w="615" w:type="dxa"/>
          </w:tcPr>
          <w:p w14:paraId="5A221E59" w14:textId="77777777" w:rsidR="000E2D7D" w:rsidRPr="00946916" w:rsidRDefault="000E2D7D" w:rsidP="003D28CA">
            <w:r w:rsidRPr="00946916">
              <w:t>5</w:t>
            </w:r>
          </w:p>
        </w:tc>
        <w:tc>
          <w:tcPr>
            <w:tcW w:w="1115" w:type="dxa"/>
          </w:tcPr>
          <w:p w14:paraId="69F31DF6" w14:textId="77777777" w:rsidR="000E2D7D" w:rsidRPr="00946916" w:rsidRDefault="000E2D7D" w:rsidP="003D28CA"/>
        </w:tc>
        <w:tc>
          <w:tcPr>
            <w:tcW w:w="1948" w:type="dxa"/>
          </w:tcPr>
          <w:p w14:paraId="2ED15A35" w14:textId="77777777" w:rsidR="000E2D7D" w:rsidRPr="00946916" w:rsidRDefault="000E2D7D" w:rsidP="003D28CA"/>
        </w:tc>
        <w:tc>
          <w:tcPr>
            <w:tcW w:w="1514" w:type="dxa"/>
          </w:tcPr>
          <w:p w14:paraId="307E760D" w14:textId="77777777" w:rsidR="000E2D7D" w:rsidRPr="00946916" w:rsidRDefault="000E2D7D" w:rsidP="003D28CA"/>
        </w:tc>
        <w:tc>
          <w:tcPr>
            <w:tcW w:w="1201" w:type="dxa"/>
          </w:tcPr>
          <w:p w14:paraId="7E839F8B" w14:textId="77777777" w:rsidR="000E2D7D" w:rsidRPr="00946916" w:rsidRDefault="000E2D7D" w:rsidP="003D28CA"/>
        </w:tc>
        <w:tc>
          <w:tcPr>
            <w:tcW w:w="1101" w:type="dxa"/>
          </w:tcPr>
          <w:p w14:paraId="1A8C9AFF" w14:textId="77777777" w:rsidR="000E2D7D" w:rsidRPr="00946916" w:rsidRDefault="000E2D7D" w:rsidP="003D28CA"/>
        </w:tc>
        <w:tc>
          <w:tcPr>
            <w:tcW w:w="1148" w:type="dxa"/>
          </w:tcPr>
          <w:p w14:paraId="1F22FA16" w14:textId="77777777" w:rsidR="000E2D7D" w:rsidRPr="00946916" w:rsidRDefault="000E2D7D" w:rsidP="003D28CA"/>
        </w:tc>
        <w:tc>
          <w:tcPr>
            <w:tcW w:w="1348" w:type="dxa"/>
          </w:tcPr>
          <w:p w14:paraId="1BE0E27B" w14:textId="77777777" w:rsidR="000E2D7D" w:rsidRPr="00946916" w:rsidRDefault="000E2D7D" w:rsidP="003D28CA"/>
        </w:tc>
        <w:tc>
          <w:tcPr>
            <w:tcW w:w="1525" w:type="dxa"/>
          </w:tcPr>
          <w:p w14:paraId="1D5D3CE9" w14:textId="77777777" w:rsidR="000E2D7D" w:rsidRPr="00946916" w:rsidRDefault="000E2D7D" w:rsidP="003D28CA"/>
        </w:tc>
        <w:tc>
          <w:tcPr>
            <w:tcW w:w="2240" w:type="dxa"/>
          </w:tcPr>
          <w:p w14:paraId="1CF68147" w14:textId="77777777" w:rsidR="000E2D7D" w:rsidRPr="00946916" w:rsidRDefault="000E2D7D" w:rsidP="003D28CA"/>
        </w:tc>
      </w:tr>
    </w:tbl>
    <w:p w14:paraId="338DD06C" w14:textId="7D05B609" w:rsidR="00511C7F" w:rsidRDefault="00511C7F" w:rsidP="000E2D7D">
      <w:pPr>
        <w:sectPr w:rsidR="00511C7F" w:rsidSect="00536B5C">
          <w:pgSz w:w="15840" w:h="12240" w:orient="landscape" w:code="1"/>
          <w:pgMar w:top="1440" w:right="1440" w:bottom="1440" w:left="1440" w:header="720" w:footer="720" w:gutter="0"/>
          <w:cols w:space="720"/>
          <w:docGrid w:linePitch="360"/>
        </w:sectPr>
      </w:pPr>
    </w:p>
    <w:p w14:paraId="4ABC3648" w14:textId="7FA50E8B" w:rsidR="00434693" w:rsidRPr="006534C9" w:rsidRDefault="00434693" w:rsidP="00434693">
      <w:pPr>
        <w:pStyle w:val="Heading2"/>
        <w:numPr>
          <w:ilvl w:val="0"/>
          <w:numId w:val="0"/>
        </w:numPr>
        <w:ind w:left="360"/>
        <w:rPr>
          <w:i w:val="0"/>
          <w:iCs/>
        </w:rPr>
      </w:pPr>
      <w:r>
        <w:rPr>
          <w:i w:val="0"/>
          <w:iCs/>
        </w:rPr>
        <w:lastRenderedPageBreak/>
        <w:t>Attachment D</w:t>
      </w:r>
      <w:r w:rsidRPr="00614B0D">
        <w:rPr>
          <w:i w:val="0"/>
          <w:iCs/>
        </w:rPr>
        <w:t xml:space="preserve">: </w:t>
      </w:r>
      <w:r>
        <w:rPr>
          <w:i w:val="0"/>
          <w:iCs/>
        </w:rPr>
        <w:t>Representations and Certifications of Compliance</w:t>
      </w:r>
    </w:p>
    <w:p w14:paraId="317B56D4" w14:textId="77777777" w:rsidR="00434693" w:rsidRPr="000C758A" w:rsidRDefault="00434693" w:rsidP="00434693">
      <w:pPr>
        <w:numPr>
          <w:ilvl w:val="0"/>
          <w:numId w:val="16"/>
        </w:numPr>
        <w:pBdr>
          <w:top w:val="single" w:sz="4" w:space="1" w:color="auto"/>
          <w:left w:val="single" w:sz="4" w:space="4" w:color="auto"/>
          <w:bottom w:val="single" w:sz="4" w:space="1" w:color="auto"/>
          <w:right w:val="single" w:sz="4" w:space="4" w:color="auto"/>
        </w:pBdr>
        <w:spacing w:after="0" w:line="240" w:lineRule="auto"/>
        <w:rPr>
          <w:rFonts w:cs="Arial"/>
          <w:sz w:val="20"/>
          <w:szCs w:val="20"/>
        </w:rPr>
      </w:pPr>
      <w:r w:rsidRPr="000C758A">
        <w:rPr>
          <w:rFonts w:cs="Arial"/>
          <w:sz w:val="20"/>
          <w:szCs w:val="20"/>
          <w:u w:val="single"/>
        </w:rPr>
        <w:t>Federal Excluded Parties List</w:t>
      </w:r>
      <w:r w:rsidRPr="000C758A">
        <w:rPr>
          <w:rFonts w:cs="Arial"/>
          <w:sz w:val="20"/>
          <w:szCs w:val="20"/>
        </w:rPr>
        <w:t xml:space="preserve"> - The Bidder Select is not presently debarred, suspended, or determined ineligible for an award of a contract by any Federal agency.</w:t>
      </w:r>
    </w:p>
    <w:p w14:paraId="63BEC15B" w14:textId="77777777" w:rsidR="00434693" w:rsidRPr="00E06B71" w:rsidRDefault="00434693" w:rsidP="00434693">
      <w:pPr>
        <w:pBdr>
          <w:top w:val="single" w:sz="4" w:space="1" w:color="auto"/>
          <w:left w:val="single" w:sz="4" w:space="4" w:color="auto"/>
          <w:bottom w:val="single" w:sz="4" w:space="1" w:color="auto"/>
          <w:right w:val="single" w:sz="4" w:space="4" w:color="auto"/>
        </w:pBdr>
        <w:spacing w:after="0"/>
        <w:ind w:left="360"/>
        <w:rPr>
          <w:rFonts w:cs="Arial"/>
          <w:sz w:val="2"/>
          <w:szCs w:val="2"/>
        </w:rPr>
      </w:pPr>
    </w:p>
    <w:p w14:paraId="280C9EB2" w14:textId="77777777" w:rsidR="00434693" w:rsidRPr="000C758A" w:rsidRDefault="00434693" w:rsidP="00434693">
      <w:pPr>
        <w:numPr>
          <w:ilvl w:val="0"/>
          <w:numId w:val="16"/>
        </w:numPr>
        <w:pBdr>
          <w:top w:val="single" w:sz="4" w:space="1" w:color="auto"/>
          <w:left w:val="single" w:sz="4" w:space="4" w:color="auto"/>
          <w:bottom w:val="single" w:sz="4" w:space="1" w:color="auto"/>
          <w:right w:val="single" w:sz="4" w:space="4" w:color="auto"/>
        </w:pBdr>
        <w:spacing w:after="0" w:line="240" w:lineRule="auto"/>
        <w:rPr>
          <w:rFonts w:cs="Arial"/>
          <w:sz w:val="20"/>
          <w:szCs w:val="20"/>
        </w:rPr>
      </w:pPr>
      <w:r w:rsidRPr="000C758A">
        <w:rPr>
          <w:rFonts w:cs="Arial"/>
          <w:sz w:val="20"/>
          <w:szCs w:val="20"/>
          <w:u w:val="single"/>
        </w:rPr>
        <w:t>Executive Compensation Certification-</w:t>
      </w:r>
      <w:r w:rsidRPr="000C758A">
        <w:rPr>
          <w:rFonts w:cs="Arial"/>
          <w:sz w:val="20"/>
          <w:szCs w:val="20"/>
        </w:rPr>
        <w:t xml:space="preserve">  FAR 52.204-10 requires DAI, as prime contractor of U.S. federal government contracts, to report compensation levels of the five most highly compensated subcontractor executives to the Federal Funding Accountability and Transparency Act Sub-Award Report System (FSRS) </w:t>
      </w:r>
    </w:p>
    <w:p w14:paraId="0730D5F4" w14:textId="77777777" w:rsidR="00434693" w:rsidRPr="00E06B71" w:rsidRDefault="00434693" w:rsidP="00434693">
      <w:pPr>
        <w:pBdr>
          <w:top w:val="single" w:sz="4" w:space="1" w:color="auto"/>
          <w:left w:val="single" w:sz="4" w:space="4" w:color="auto"/>
          <w:bottom w:val="single" w:sz="4" w:space="1" w:color="auto"/>
          <w:right w:val="single" w:sz="4" w:space="4" w:color="auto"/>
        </w:pBdr>
        <w:spacing w:after="0"/>
        <w:ind w:left="360"/>
        <w:rPr>
          <w:rFonts w:cs="Arial"/>
          <w:sz w:val="6"/>
          <w:szCs w:val="6"/>
        </w:rPr>
      </w:pPr>
    </w:p>
    <w:p w14:paraId="778CA976" w14:textId="77777777" w:rsidR="00434693" w:rsidRPr="000C758A" w:rsidRDefault="00434693" w:rsidP="00434693">
      <w:pPr>
        <w:numPr>
          <w:ilvl w:val="0"/>
          <w:numId w:val="16"/>
        </w:numPr>
        <w:pBdr>
          <w:top w:val="single" w:sz="4" w:space="1" w:color="auto"/>
          <w:left w:val="single" w:sz="4" w:space="4" w:color="auto"/>
          <w:bottom w:val="single" w:sz="4" w:space="1" w:color="auto"/>
          <w:right w:val="single" w:sz="4" w:space="4" w:color="auto"/>
        </w:pBdr>
        <w:spacing w:after="0" w:line="240" w:lineRule="auto"/>
        <w:rPr>
          <w:rFonts w:cs="Arial"/>
          <w:sz w:val="20"/>
          <w:szCs w:val="20"/>
        </w:rPr>
      </w:pPr>
      <w:r w:rsidRPr="000C758A">
        <w:rPr>
          <w:rFonts w:cs="Arial"/>
          <w:sz w:val="20"/>
          <w:szCs w:val="20"/>
          <w:u w:val="single"/>
        </w:rPr>
        <w:t>Executive Order on Terrorism Financing</w:t>
      </w:r>
      <w:r w:rsidRPr="000C758A">
        <w:rPr>
          <w:rFonts w:cs="Arial"/>
          <w:sz w:val="20"/>
          <w:szCs w:val="20"/>
        </w:rPr>
        <w:t xml:space="preserve">- </w:t>
      </w:r>
      <w:r w:rsidRPr="000C758A">
        <w:rPr>
          <w:rFonts w:cs="Arial"/>
          <w:color w:val="000000"/>
          <w:sz w:val="20"/>
          <w:szCs w:val="20"/>
        </w:rPr>
        <w:t xml:space="preserve">the Contractor is reminded that U.S. Executive Orders and U.S. law prohibits transactions with, and the provision of resources and support to, individuals and organizations associated with terrorism.  It is the legal responsibility of the Contractor/Recipient to ensure compliance with these Executive Orders and laws. Recipients may not engage with, or provide resources or support to, individuals and organizations associated with terrorism. No support or resources may be provided to individuals or entities that appear on the Specially Designated Nationals and Blocked persons List maintained by the US Treasury (online at </w:t>
      </w:r>
      <w:hyperlink r:id="rId14" w:history="1">
        <w:r w:rsidRPr="000C758A">
          <w:rPr>
            <w:rStyle w:val="Hyperlink"/>
            <w:rFonts w:cs="Arial"/>
            <w:sz w:val="20"/>
            <w:szCs w:val="20"/>
          </w:rPr>
          <w:t>www.SAM.gov</w:t>
        </w:r>
      </w:hyperlink>
      <w:r w:rsidRPr="000C758A">
        <w:rPr>
          <w:rFonts w:cs="Arial"/>
          <w:color w:val="000000"/>
          <w:sz w:val="20"/>
          <w:szCs w:val="20"/>
        </w:rPr>
        <w:t>) or the United Nations Security Designation List (online at: http://www.un.org/sc/committees/1267/aq_sanctions_list.shtml).  This provision must be included in all subcontracts/sub awards issued under this Contract.</w:t>
      </w:r>
    </w:p>
    <w:p w14:paraId="6A4DFA11" w14:textId="77777777" w:rsidR="00434693" w:rsidRPr="00E06B71" w:rsidRDefault="00434693" w:rsidP="00434693">
      <w:pPr>
        <w:pBdr>
          <w:top w:val="single" w:sz="4" w:space="1" w:color="auto"/>
          <w:left w:val="single" w:sz="4" w:space="4" w:color="auto"/>
          <w:bottom w:val="single" w:sz="4" w:space="1" w:color="auto"/>
          <w:right w:val="single" w:sz="4" w:space="4" w:color="auto"/>
        </w:pBdr>
        <w:spacing w:after="0"/>
        <w:ind w:left="360"/>
        <w:rPr>
          <w:rFonts w:cs="Arial"/>
          <w:sz w:val="8"/>
          <w:szCs w:val="8"/>
        </w:rPr>
      </w:pPr>
    </w:p>
    <w:p w14:paraId="4C7F5516" w14:textId="77777777" w:rsidR="00434693" w:rsidRPr="000C758A" w:rsidRDefault="00434693" w:rsidP="00434693">
      <w:pPr>
        <w:numPr>
          <w:ilvl w:val="0"/>
          <w:numId w:val="16"/>
        </w:numPr>
        <w:pBdr>
          <w:top w:val="single" w:sz="4" w:space="1" w:color="auto"/>
          <w:left w:val="single" w:sz="4" w:space="4" w:color="auto"/>
          <w:bottom w:val="single" w:sz="4" w:space="1" w:color="auto"/>
          <w:right w:val="single" w:sz="4" w:space="4" w:color="auto"/>
        </w:pBdr>
        <w:spacing w:after="0" w:line="240" w:lineRule="auto"/>
        <w:rPr>
          <w:rFonts w:cs="Arial"/>
          <w:sz w:val="20"/>
          <w:szCs w:val="20"/>
        </w:rPr>
      </w:pPr>
      <w:r w:rsidRPr="000C758A">
        <w:rPr>
          <w:rFonts w:cs="Arial"/>
          <w:sz w:val="20"/>
          <w:szCs w:val="20"/>
          <w:u w:val="single"/>
        </w:rPr>
        <w:t>Trafficking of Persons</w:t>
      </w:r>
      <w:r w:rsidRPr="000C758A">
        <w:rPr>
          <w:rFonts w:cs="Arial"/>
          <w:sz w:val="20"/>
          <w:szCs w:val="20"/>
        </w:rPr>
        <w:t xml:space="preserve"> – The Contractor may not traffic in persons (as defined in the Protocol to Prevent, Suppress, and Punish Trafficking of persons, especially Women and Children, supplementing the UN Convention against Transnational Organized Crime), procure commercial sex, and use forced labor during the period of this award.</w:t>
      </w:r>
    </w:p>
    <w:p w14:paraId="4BF010F2" w14:textId="77777777" w:rsidR="00434693" w:rsidRPr="00E06B71" w:rsidRDefault="00434693" w:rsidP="00434693">
      <w:pPr>
        <w:pBdr>
          <w:top w:val="single" w:sz="4" w:space="1" w:color="auto"/>
          <w:left w:val="single" w:sz="4" w:space="4" w:color="auto"/>
          <w:bottom w:val="single" w:sz="4" w:space="1" w:color="auto"/>
          <w:right w:val="single" w:sz="4" w:space="4" w:color="auto"/>
        </w:pBdr>
        <w:spacing w:after="0"/>
        <w:ind w:left="360"/>
        <w:rPr>
          <w:rFonts w:cs="Arial"/>
          <w:sz w:val="6"/>
          <w:szCs w:val="6"/>
        </w:rPr>
      </w:pPr>
    </w:p>
    <w:p w14:paraId="53C6F997" w14:textId="77777777" w:rsidR="00434693" w:rsidRPr="000C758A" w:rsidRDefault="00434693" w:rsidP="00434693">
      <w:pPr>
        <w:numPr>
          <w:ilvl w:val="0"/>
          <w:numId w:val="16"/>
        </w:numPr>
        <w:pBdr>
          <w:top w:val="single" w:sz="4" w:space="1" w:color="auto"/>
          <w:left w:val="single" w:sz="4" w:space="4" w:color="auto"/>
          <w:bottom w:val="single" w:sz="4" w:space="1" w:color="auto"/>
          <w:right w:val="single" w:sz="4" w:space="4" w:color="auto"/>
        </w:pBdr>
        <w:spacing w:after="0" w:line="240" w:lineRule="auto"/>
        <w:rPr>
          <w:rFonts w:cs="Arial"/>
          <w:sz w:val="20"/>
          <w:szCs w:val="20"/>
        </w:rPr>
      </w:pPr>
      <w:r w:rsidRPr="000C758A">
        <w:rPr>
          <w:rFonts w:cs="Arial"/>
          <w:bCs/>
          <w:sz w:val="20"/>
          <w:szCs w:val="20"/>
          <w:u w:val="single"/>
        </w:rPr>
        <w:t>Certification and Disclosure Regarding Payment to Influence Certain Federal Transactions</w:t>
      </w:r>
      <w:r w:rsidRPr="000C758A">
        <w:rPr>
          <w:rFonts w:cs="Arial"/>
          <w:sz w:val="20"/>
          <w:szCs w:val="20"/>
        </w:rPr>
        <w:t xml:space="preserve"> – The Bidder certifies that it currently is and will remain in compliance with FAR 52.203-11, </w:t>
      </w:r>
      <w:r w:rsidRPr="000C758A">
        <w:rPr>
          <w:rFonts w:cs="Arial"/>
          <w:sz w:val="20"/>
          <w:szCs w:val="20"/>
          <w:u w:val="single"/>
        </w:rPr>
        <w:t>Certification and Disclosure Regarding Payment to Influence Certain Federal Transactions</w:t>
      </w:r>
      <w:r w:rsidRPr="000C758A">
        <w:rPr>
          <w:rFonts w:cs="Arial"/>
          <w:sz w:val="20"/>
          <w:szCs w:val="20"/>
        </w:rPr>
        <w:t>.</w:t>
      </w:r>
    </w:p>
    <w:p w14:paraId="1362025B" w14:textId="77777777" w:rsidR="00434693" w:rsidRPr="00E06B71" w:rsidRDefault="00434693" w:rsidP="00434693">
      <w:pPr>
        <w:pBdr>
          <w:top w:val="single" w:sz="4" w:space="1" w:color="auto"/>
          <w:left w:val="single" w:sz="4" w:space="4" w:color="auto"/>
          <w:bottom w:val="single" w:sz="4" w:space="1" w:color="auto"/>
          <w:right w:val="single" w:sz="4" w:space="4" w:color="auto"/>
        </w:pBdr>
        <w:spacing w:after="0"/>
        <w:ind w:left="360"/>
        <w:rPr>
          <w:rFonts w:cs="Arial"/>
          <w:sz w:val="10"/>
          <w:szCs w:val="10"/>
        </w:rPr>
      </w:pPr>
    </w:p>
    <w:p w14:paraId="32011123" w14:textId="77777777" w:rsidR="00434693" w:rsidRPr="000C758A" w:rsidRDefault="00434693" w:rsidP="00434693">
      <w:pPr>
        <w:numPr>
          <w:ilvl w:val="0"/>
          <w:numId w:val="16"/>
        </w:numPr>
        <w:pBdr>
          <w:top w:val="single" w:sz="4" w:space="1" w:color="auto"/>
          <w:left w:val="single" w:sz="4" w:space="4" w:color="auto"/>
          <w:bottom w:val="single" w:sz="4" w:space="1" w:color="auto"/>
          <w:right w:val="single" w:sz="4" w:space="4" w:color="auto"/>
        </w:pBdr>
        <w:spacing w:after="0" w:line="240" w:lineRule="auto"/>
        <w:rPr>
          <w:rFonts w:cs="Arial"/>
          <w:sz w:val="20"/>
          <w:szCs w:val="20"/>
        </w:rPr>
      </w:pPr>
      <w:r w:rsidRPr="000C758A">
        <w:rPr>
          <w:rFonts w:cs="Arial"/>
          <w:bCs/>
          <w:sz w:val="20"/>
          <w:szCs w:val="20"/>
          <w:u w:val="single"/>
        </w:rPr>
        <w:t>Organizational Conflict of Interest</w:t>
      </w:r>
      <w:r w:rsidRPr="000C758A">
        <w:rPr>
          <w:rFonts w:cs="Arial"/>
          <w:sz w:val="20"/>
          <w:szCs w:val="20"/>
        </w:rPr>
        <w:t xml:space="preserve"> – The Bidder certifies that will comply FAR Part 9.5, Organizational Conflict of Interest.  The Bidder certifies that is not aware of any information bearing on the existence of any potential organizational conflict of interest.  The Bidder further certifies that if the Bidder becomes aware of information bearing on whether a potential conflict may exist, that Bidder shall immediately provide DAII with a disclosure statement describing this information.</w:t>
      </w:r>
    </w:p>
    <w:p w14:paraId="6DFB2867" w14:textId="77777777" w:rsidR="00434693" w:rsidRPr="00E06B71" w:rsidRDefault="00434693" w:rsidP="00434693">
      <w:pPr>
        <w:pBdr>
          <w:top w:val="single" w:sz="4" w:space="1" w:color="auto"/>
          <w:left w:val="single" w:sz="4" w:space="4" w:color="auto"/>
          <w:bottom w:val="single" w:sz="4" w:space="1" w:color="auto"/>
          <w:right w:val="single" w:sz="4" w:space="4" w:color="auto"/>
        </w:pBdr>
        <w:spacing w:after="0"/>
        <w:ind w:left="360"/>
        <w:rPr>
          <w:rFonts w:cs="Arial"/>
          <w:sz w:val="14"/>
          <w:szCs w:val="14"/>
        </w:rPr>
      </w:pPr>
    </w:p>
    <w:p w14:paraId="5749FC90" w14:textId="77777777" w:rsidR="00434693" w:rsidRPr="000C758A" w:rsidRDefault="00434693" w:rsidP="00434693">
      <w:pPr>
        <w:numPr>
          <w:ilvl w:val="0"/>
          <w:numId w:val="16"/>
        </w:numPr>
        <w:pBdr>
          <w:top w:val="single" w:sz="4" w:space="1" w:color="auto"/>
          <w:left w:val="single" w:sz="4" w:space="4" w:color="auto"/>
          <w:bottom w:val="single" w:sz="4" w:space="1" w:color="auto"/>
          <w:right w:val="single" w:sz="4" w:space="4" w:color="auto"/>
        </w:pBdr>
        <w:spacing w:after="0" w:line="240" w:lineRule="auto"/>
        <w:rPr>
          <w:rFonts w:cs="Arial"/>
          <w:sz w:val="20"/>
          <w:szCs w:val="20"/>
        </w:rPr>
      </w:pPr>
      <w:r w:rsidRPr="000C758A">
        <w:rPr>
          <w:rFonts w:cs="Arial"/>
          <w:sz w:val="20"/>
          <w:szCs w:val="20"/>
          <w:u w:val="single"/>
        </w:rPr>
        <w:t>Prohibition of Segregated Facilities</w:t>
      </w:r>
      <w:r w:rsidRPr="000C758A">
        <w:rPr>
          <w:rFonts w:cs="Arial"/>
          <w:sz w:val="20"/>
          <w:szCs w:val="20"/>
        </w:rPr>
        <w:t xml:space="preserve"> - The Bidder certifies that it is compliant with FAR 52.222-21, Prohibition of Segregated Facilities.</w:t>
      </w:r>
    </w:p>
    <w:p w14:paraId="4C6B17F9" w14:textId="77777777" w:rsidR="00434693" w:rsidRPr="000C758A" w:rsidRDefault="00434693" w:rsidP="00434693">
      <w:pPr>
        <w:pBdr>
          <w:top w:val="single" w:sz="4" w:space="1" w:color="auto"/>
          <w:left w:val="single" w:sz="4" w:space="4" w:color="auto"/>
          <w:bottom w:val="single" w:sz="4" w:space="1" w:color="auto"/>
          <w:right w:val="single" w:sz="4" w:space="4" w:color="auto"/>
        </w:pBdr>
        <w:spacing w:after="0"/>
        <w:ind w:left="360"/>
        <w:rPr>
          <w:rFonts w:cs="Arial"/>
          <w:sz w:val="20"/>
          <w:szCs w:val="20"/>
        </w:rPr>
      </w:pPr>
    </w:p>
    <w:p w14:paraId="4383885E" w14:textId="77777777" w:rsidR="00434693" w:rsidRPr="000C758A" w:rsidRDefault="00434693" w:rsidP="00434693">
      <w:pPr>
        <w:numPr>
          <w:ilvl w:val="0"/>
          <w:numId w:val="16"/>
        </w:numPr>
        <w:pBdr>
          <w:top w:val="single" w:sz="4" w:space="1" w:color="auto"/>
          <w:left w:val="single" w:sz="4" w:space="4" w:color="auto"/>
          <w:bottom w:val="single" w:sz="4" w:space="1" w:color="auto"/>
          <w:right w:val="single" w:sz="4" w:space="4" w:color="auto"/>
        </w:pBdr>
        <w:tabs>
          <w:tab w:val="left" w:pos="360"/>
        </w:tabs>
        <w:spacing w:after="0" w:line="240" w:lineRule="auto"/>
        <w:jc w:val="both"/>
        <w:rPr>
          <w:rFonts w:cs="Arial"/>
          <w:sz w:val="20"/>
          <w:szCs w:val="20"/>
        </w:rPr>
      </w:pPr>
      <w:r w:rsidRPr="000C758A">
        <w:rPr>
          <w:rFonts w:cs="Arial"/>
          <w:sz w:val="20"/>
          <w:szCs w:val="20"/>
          <w:u w:val="single"/>
        </w:rPr>
        <w:t>Equal Opportunity</w:t>
      </w:r>
      <w:r w:rsidRPr="000C758A">
        <w:rPr>
          <w:rFonts w:cs="Arial"/>
          <w:sz w:val="20"/>
          <w:szCs w:val="20"/>
        </w:rPr>
        <w:t xml:space="preserve"> – The Bidder certifies that it does not discriminate against any employee or applicant for employment because of age, sex, religion, handicap, race, creed, color or national origin.</w:t>
      </w:r>
    </w:p>
    <w:p w14:paraId="281360FB" w14:textId="77777777" w:rsidR="00434693" w:rsidRPr="000C758A" w:rsidRDefault="00434693" w:rsidP="00434693">
      <w:pPr>
        <w:pBdr>
          <w:top w:val="single" w:sz="4" w:space="1" w:color="auto"/>
          <w:left w:val="single" w:sz="4" w:space="4" w:color="auto"/>
          <w:bottom w:val="single" w:sz="4" w:space="1" w:color="auto"/>
          <w:right w:val="single" w:sz="4" w:space="4" w:color="auto"/>
        </w:pBdr>
        <w:tabs>
          <w:tab w:val="left" w:pos="360"/>
        </w:tabs>
        <w:spacing w:after="0"/>
        <w:ind w:left="360"/>
        <w:rPr>
          <w:rFonts w:cs="Arial"/>
          <w:sz w:val="20"/>
          <w:szCs w:val="20"/>
          <w:u w:val="single"/>
        </w:rPr>
      </w:pPr>
    </w:p>
    <w:p w14:paraId="0A7C4711" w14:textId="77777777" w:rsidR="00434693" w:rsidRPr="000C758A" w:rsidRDefault="00434693" w:rsidP="00434693">
      <w:pPr>
        <w:numPr>
          <w:ilvl w:val="0"/>
          <w:numId w:val="16"/>
        </w:numPr>
        <w:pBdr>
          <w:top w:val="single" w:sz="4" w:space="1" w:color="auto"/>
          <w:left w:val="single" w:sz="4" w:space="4" w:color="auto"/>
          <w:bottom w:val="single" w:sz="4" w:space="1" w:color="auto"/>
          <w:right w:val="single" w:sz="4" w:space="4" w:color="auto"/>
        </w:pBdr>
        <w:tabs>
          <w:tab w:val="left" w:pos="360"/>
        </w:tabs>
        <w:spacing w:after="0" w:line="240" w:lineRule="auto"/>
        <w:jc w:val="both"/>
        <w:rPr>
          <w:rFonts w:cs="Arial"/>
          <w:sz w:val="20"/>
          <w:szCs w:val="20"/>
        </w:rPr>
      </w:pPr>
      <w:r w:rsidRPr="000C758A">
        <w:rPr>
          <w:rFonts w:cs="Arial"/>
          <w:sz w:val="20"/>
          <w:szCs w:val="20"/>
          <w:u w:val="single"/>
        </w:rPr>
        <w:t>Labor Laws</w:t>
      </w:r>
      <w:r w:rsidRPr="000C758A">
        <w:rPr>
          <w:rFonts w:cs="Arial"/>
          <w:sz w:val="20"/>
          <w:szCs w:val="20"/>
        </w:rPr>
        <w:t xml:space="preserve"> – The Bidder certifies that it is in compliance with all labor </w:t>
      </w:r>
      <w:proofErr w:type="gramStart"/>
      <w:r w:rsidRPr="000C758A">
        <w:rPr>
          <w:rFonts w:cs="Arial"/>
          <w:sz w:val="20"/>
          <w:szCs w:val="20"/>
        </w:rPr>
        <w:t>laws..</w:t>
      </w:r>
      <w:proofErr w:type="gramEnd"/>
    </w:p>
    <w:p w14:paraId="5CBF0E66" w14:textId="77777777" w:rsidR="00434693" w:rsidRPr="000C758A" w:rsidRDefault="00434693" w:rsidP="00434693">
      <w:pPr>
        <w:pBdr>
          <w:top w:val="single" w:sz="4" w:space="1" w:color="auto"/>
          <w:left w:val="single" w:sz="4" w:space="4" w:color="auto"/>
          <w:bottom w:val="single" w:sz="4" w:space="1" w:color="auto"/>
          <w:right w:val="single" w:sz="4" w:space="4" w:color="auto"/>
        </w:pBdr>
        <w:tabs>
          <w:tab w:val="left" w:pos="360"/>
        </w:tabs>
        <w:spacing w:after="0"/>
        <w:ind w:left="360"/>
        <w:rPr>
          <w:rFonts w:cs="Arial"/>
          <w:sz w:val="20"/>
          <w:szCs w:val="20"/>
          <w:u w:val="single"/>
        </w:rPr>
      </w:pPr>
    </w:p>
    <w:p w14:paraId="289833E0" w14:textId="77777777" w:rsidR="00434693" w:rsidRPr="000C758A" w:rsidRDefault="00434693" w:rsidP="00434693">
      <w:pPr>
        <w:numPr>
          <w:ilvl w:val="0"/>
          <w:numId w:val="16"/>
        </w:numPr>
        <w:pBdr>
          <w:top w:val="single" w:sz="4" w:space="1" w:color="auto"/>
          <w:left w:val="single" w:sz="4" w:space="4" w:color="auto"/>
          <w:bottom w:val="single" w:sz="4" w:space="1" w:color="auto"/>
          <w:right w:val="single" w:sz="4" w:space="4" w:color="auto"/>
        </w:pBdr>
        <w:tabs>
          <w:tab w:val="left" w:pos="360"/>
        </w:tabs>
        <w:spacing w:after="0" w:line="240" w:lineRule="auto"/>
        <w:jc w:val="both"/>
        <w:rPr>
          <w:rFonts w:cs="Arial"/>
          <w:sz w:val="20"/>
          <w:szCs w:val="20"/>
        </w:rPr>
      </w:pPr>
      <w:r w:rsidRPr="000C758A">
        <w:rPr>
          <w:rFonts w:cs="Arial"/>
          <w:sz w:val="20"/>
          <w:szCs w:val="20"/>
          <w:u w:val="single"/>
        </w:rPr>
        <w:t>Federal Acquisition Regulation (FAR)</w:t>
      </w:r>
      <w:r w:rsidRPr="000C758A">
        <w:rPr>
          <w:rFonts w:cs="Arial"/>
          <w:sz w:val="20"/>
          <w:szCs w:val="20"/>
        </w:rPr>
        <w:t xml:space="preserve"> – The Bidder certifies that it is familiar with the Federal Acquisition Regulation (FAR) and is in not in violation of any certifications required in the applicable clauses of the FAR, including but not limited to certifications regarding lobbying, kickbacks, equal employment opportunity, affirmation action, and payments to influence Federal transactions.</w:t>
      </w:r>
    </w:p>
    <w:p w14:paraId="720AE386" w14:textId="77777777" w:rsidR="00434693" w:rsidRPr="000C758A" w:rsidRDefault="00434693" w:rsidP="00434693">
      <w:pPr>
        <w:pBdr>
          <w:top w:val="single" w:sz="4" w:space="1" w:color="auto"/>
          <w:left w:val="single" w:sz="4" w:space="4" w:color="auto"/>
          <w:bottom w:val="single" w:sz="4" w:space="1" w:color="auto"/>
          <w:right w:val="single" w:sz="4" w:space="4" w:color="auto"/>
        </w:pBdr>
        <w:tabs>
          <w:tab w:val="left" w:pos="360"/>
        </w:tabs>
        <w:spacing w:after="0"/>
        <w:ind w:left="360"/>
        <w:rPr>
          <w:rFonts w:cs="Arial"/>
          <w:sz w:val="20"/>
          <w:szCs w:val="20"/>
          <w:u w:val="single"/>
        </w:rPr>
      </w:pPr>
    </w:p>
    <w:p w14:paraId="515F42A3" w14:textId="7A2BF616" w:rsidR="00434693" w:rsidRDefault="00434693" w:rsidP="00434693">
      <w:pPr>
        <w:numPr>
          <w:ilvl w:val="0"/>
          <w:numId w:val="16"/>
        </w:numPr>
        <w:pBdr>
          <w:top w:val="single" w:sz="4" w:space="1" w:color="auto"/>
          <w:left w:val="single" w:sz="4" w:space="4" w:color="auto"/>
          <w:bottom w:val="single" w:sz="4" w:space="1" w:color="auto"/>
          <w:right w:val="single" w:sz="4" w:space="4" w:color="auto"/>
        </w:pBdr>
        <w:tabs>
          <w:tab w:val="left" w:pos="360"/>
        </w:tabs>
        <w:spacing w:after="0" w:line="240" w:lineRule="auto"/>
        <w:jc w:val="both"/>
        <w:rPr>
          <w:rFonts w:cs="Arial"/>
          <w:sz w:val="20"/>
          <w:szCs w:val="20"/>
        </w:rPr>
      </w:pPr>
      <w:r w:rsidRPr="000C758A">
        <w:rPr>
          <w:rFonts w:cs="Arial"/>
          <w:sz w:val="20"/>
          <w:szCs w:val="20"/>
          <w:u w:val="single"/>
        </w:rPr>
        <w:t>Employee Compliance</w:t>
      </w:r>
      <w:r w:rsidRPr="000C758A">
        <w:rPr>
          <w:rFonts w:cs="Arial"/>
          <w:sz w:val="20"/>
          <w:szCs w:val="20"/>
        </w:rPr>
        <w:t xml:space="preserve"> – The Bidder warrants that it will require all employees, entities and individuals providing services in connection with the performance of an DAI Purchase Order to comply with the provisions of the resulting Purchase Order and with all Federal, State, and local laws and regulations in connection with the work associated therein.</w:t>
      </w:r>
    </w:p>
    <w:p w14:paraId="038C931F" w14:textId="77777777" w:rsidR="00434693" w:rsidRPr="00434693" w:rsidRDefault="00434693" w:rsidP="00434693">
      <w:pPr>
        <w:pBdr>
          <w:top w:val="single" w:sz="4" w:space="1" w:color="auto"/>
          <w:left w:val="single" w:sz="4" w:space="4" w:color="auto"/>
          <w:bottom w:val="single" w:sz="4" w:space="1" w:color="auto"/>
          <w:right w:val="single" w:sz="4" w:space="4" w:color="auto"/>
        </w:pBdr>
        <w:tabs>
          <w:tab w:val="left" w:pos="360"/>
        </w:tabs>
        <w:spacing w:after="0" w:line="240" w:lineRule="auto"/>
        <w:ind w:left="360"/>
        <w:jc w:val="both"/>
        <w:rPr>
          <w:rFonts w:cs="Arial"/>
          <w:sz w:val="20"/>
          <w:szCs w:val="20"/>
        </w:rPr>
      </w:pPr>
    </w:p>
    <w:p w14:paraId="4E8C46AC" w14:textId="77777777" w:rsidR="00434693" w:rsidRPr="003639F4" w:rsidRDefault="00434693" w:rsidP="00434693">
      <w:pPr>
        <w:pStyle w:val="BodyText"/>
        <w:pBdr>
          <w:top w:val="single" w:sz="4" w:space="1" w:color="auto"/>
          <w:left w:val="single" w:sz="4" w:space="4" w:color="auto"/>
          <w:bottom w:val="single" w:sz="4" w:space="1" w:color="auto"/>
          <w:right w:val="single" w:sz="4" w:space="4" w:color="auto"/>
        </w:pBdr>
        <w:spacing w:after="0"/>
        <w:ind w:left="360"/>
        <w:rPr>
          <w:rFonts w:cs="Arial"/>
          <w:bCs/>
          <w:iCs/>
        </w:rPr>
      </w:pPr>
      <w:r w:rsidRPr="000C758A">
        <w:rPr>
          <w:rFonts w:cs="Arial"/>
          <w:bCs/>
          <w:iCs/>
        </w:rPr>
        <w:t xml:space="preserve">By submitting a quote, bidders agree to fully comply with the terms and conditions above and all applicable U.S. federal government clauses included herein, and will be asked to sign these Representations and Certifications upon award. </w:t>
      </w:r>
    </w:p>
    <w:p w14:paraId="76801E0E" w14:textId="158AFA38" w:rsidR="00434693" w:rsidRDefault="00434693" w:rsidP="00434693">
      <w:pPr>
        <w:pStyle w:val="BodyText"/>
        <w:rPr>
          <w:rFonts w:cs="Arial"/>
          <w:b/>
          <w:bCs/>
          <w:iCs/>
          <w:sz w:val="18"/>
          <w:szCs w:val="18"/>
        </w:rPr>
      </w:pPr>
    </w:p>
    <w:p w14:paraId="0FAE052C" w14:textId="77777777" w:rsidR="00434693" w:rsidRDefault="00434693" w:rsidP="00434693">
      <w:pPr>
        <w:pStyle w:val="BodyText"/>
        <w:rPr>
          <w:rFonts w:cs="Arial"/>
          <w:b/>
          <w:bCs/>
          <w:iCs/>
          <w:sz w:val="18"/>
          <w:szCs w:val="18"/>
        </w:rPr>
      </w:pPr>
    </w:p>
    <w:p w14:paraId="2C0DFCAB" w14:textId="77777777" w:rsidR="00434693" w:rsidRPr="000C758A" w:rsidRDefault="00434693" w:rsidP="00434693">
      <w:pPr>
        <w:pStyle w:val="BodyText"/>
        <w:jc w:val="both"/>
        <w:rPr>
          <w:rFonts w:cs="Arial"/>
          <w:b/>
          <w:bCs/>
          <w:iCs/>
          <w:sz w:val="18"/>
          <w:szCs w:val="18"/>
        </w:rPr>
      </w:pPr>
      <w:r w:rsidRPr="000C758A">
        <w:rPr>
          <w:rFonts w:cs="Arial"/>
          <w:b/>
          <w:bCs/>
          <w:iCs/>
          <w:sz w:val="18"/>
          <w:szCs w:val="18"/>
        </w:rPr>
        <w:lastRenderedPageBreak/>
        <w:t>RADP-East SPECIAL CLAUSES</w:t>
      </w:r>
    </w:p>
    <w:p w14:paraId="2FA2F015" w14:textId="77777777" w:rsidR="00434693" w:rsidRPr="000C758A" w:rsidRDefault="00434693" w:rsidP="00434693">
      <w:pPr>
        <w:pStyle w:val="BodyText"/>
        <w:numPr>
          <w:ilvl w:val="0"/>
          <w:numId w:val="24"/>
        </w:numPr>
        <w:jc w:val="both"/>
        <w:rPr>
          <w:rFonts w:cs="Arial"/>
          <w:bCs/>
          <w:iCs/>
          <w:sz w:val="18"/>
          <w:szCs w:val="18"/>
        </w:rPr>
      </w:pPr>
      <w:r w:rsidRPr="000C758A">
        <w:rPr>
          <w:rFonts w:cs="Arial"/>
          <w:bCs/>
          <w:iCs/>
          <w:sz w:val="18"/>
          <w:szCs w:val="18"/>
        </w:rPr>
        <w:t xml:space="preserve"> </w:t>
      </w:r>
      <w:r w:rsidRPr="000C758A">
        <w:rPr>
          <w:rFonts w:cs="Arial"/>
          <w:b/>
          <w:bCs/>
          <w:iCs/>
          <w:sz w:val="18"/>
          <w:szCs w:val="18"/>
        </w:rPr>
        <w:t xml:space="preserve">Authorized Geographic Code </w:t>
      </w:r>
    </w:p>
    <w:p w14:paraId="18E125CE" w14:textId="77777777" w:rsidR="00434693" w:rsidRPr="000C758A" w:rsidRDefault="00434693" w:rsidP="00434693">
      <w:pPr>
        <w:pStyle w:val="BodyText"/>
        <w:jc w:val="both"/>
        <w:rPr>
          <w:rFonts w:cs="Arial"/>
          <w:bCs/>
          <w:iCs/>
        </w:rPr>
      </w:pPr>
      <w:r w:rsidRPr="000C758A">
        <w:rPr>
          <w:rFonts w:cs="Arial"/>
          <w:bCs/>
          <w:iCs/>
        </w:rPr>
        <w:t>The authorized geographic code for procurement of goods and services under this contract is 937. To support USAID activities and programs in Afghanistan a Source / Nationality waiver was signed by USAID Mission Director on June 22, 2016. This waiver is effective from July 24, 2016 through July 24, 2018, which permits procurement of goods and services from Geographic Code 935 for USAID programs and activities in Afghanistan.</w:t>
      </w:r>
    </w:p>
    <w:p w14:paraId="107410F4" w14:textId="77777777" w:rsidR="00434693" w:rsidRPr="000C758A" w:rsidRDefault="00434693" w:rsidP="00434693">
      <w:pPr>
        <w:pStyle w:val="BodyText"/>
        <w:numPr>
          <w:ilvl w:val="0"/>
          <w:numId w:val="24"/>
        </w:numPr>
        <w:jc w:val="both"/>
        <w:rPr>
          <w:rFonts w:cs="Arial"/>
          <w:bCs/>
          <w:iCs/>
          <w:sz w:val="18"/>
          <w:szCs w:val="18"/>
        </w:rPr>
      </w:pPr>
      <w:r w:rsidRPr="000C758A">
        <w:rPr>
          <w:rFonts w:cs="Arial"/>
          <w:b/>
          <w:bCs/>
          <w:iCs/>
          <w:sz w:val="18"/>
          <w:szCs w:val="18"/>
        </w:rPr>
        <w:t>Insurance</w:t>
      </w:r>
    </w:p>
    <w:p w14:paraId="4FBB0E32" w14:textId="77777777" w:rsidR="00434693" w:rsidRPr="000C758A" w:rsidRDefault="00434693" w:rsidP="00434693">
      <w:pPr>
        <w:pStyle w:val="BodyText"/>
        <w:jc w:val="both"/>
        <w:rPr>
          <w:rFonts w:cs="Arial"/>
          <w:bCs/>
          <w:iCs/>
        </w:rPr>
      </w:pPr>
      <w:r w:rsidRPr="000C758A">
        <w:rPr>
          <w:rFonts w:cs="Arial"/>
          <w:bCs/>
          <w:iCs/>
        </w:rPr>
        <w:t>The Vendor agrees that if DAI should legally incur any reasonable cost whatsoever resulting from the lack of the insurance aforementioned in Article 16, on the part of the Vendor while engaged in work, the Vendor will, to the extent permitted by applicable law, indemnify, and hold harmless DAI and the Client Organization from any such costs which they may legally be required to pay.</w:t>
      </w:r>
    </w:p>
    <w:p w14:paraId="561C7EC9" w14:textId="77777777" w:rsidR="00434693" w:rsidRPr="000C758A" w:rsidRDefault="00434693" w:rsidP="00434693">
      <w:pPr>
        <w:pStyle w:val="BodyText"/>
        <w:numPr>
          <w:ilvl w:val="0"/>
          <w:numId w:val="24"/>
        </w:numPr>
        <w:jc w:val="both"/>
        <w:rPr>
          <w:rFonts w:cs="Arial"/>
          <w:b/>
          <w:bCs/>
          <w:iCs/>
          <w:sz w:val="18"/>
          <w:szCs w:val="18"/>
        </w:rPr>
      </w:pPr>
      <w:r w:rsidRPr="000C758A">
        <w:rPr>
          <w:rFonts w:cs="Arial"/>
          <w:b/>
          <w:bCs/>
          <w:iCs/>
          <w:sz w:val="18"/>
          <w:szCs w:val="18"/>
        </w:rPr>
        <w:t>Government Withholding Tax</w:t>
      </w:r>
    </w:p>
    <w:p w14:paraId="1E38D112" w14:textId="77777777" w:rsidR="00434693" w:rsidRPr="000C758A" w:rsidRDefault="00434693" w:rsidP="00434693">
      <w:pPr>
        <w:pStyle w:val="BodyText"/>
        <w:jc w:val="both"/>
        <w:rPr>
          <w:rFonts w:cs="Arial"/>
          <w:bCs/>
          <w:iCs/>
        </w:rPr>
      </w:pPr>
      <w:r w:rsidRPr="000C758A">
        <w:rPr>
          <w:rFonts w:cs="Arial"/>
          <w:bCs/>
          <w:iCs/>
        </w:rPr>
        <w:t>Pursuant to Article 72 in the Afghanistan Tax Law effective March 21, 2009, DAI is required to withhold "contractor" taxes from the gross amounts payable to all Afghan for-profit subcontractors/vendors with aggregate amounts of $1,000.00 US Dollars or greater and transfer this to the Ministry of Finance. In accordance with this requirement, DAI shall withhold two percent (2%) tax from all gross invoices to Afghan subcontractors/vendors under this Agreement with active AISA or Ministry of Commerce license.  For subcontractors/vendors without active AISA or Ministry of Commerce license, DAI shall withhold seven percent (7%) "Contractor" taxes per current Afghanistan Tax Law.</w:t>
      </w:r>
    </w:p>
    <w:p w14:paraId="04B9502C" w14:textId="77777777" w:rsidR="00434693" w:rsidRPr="000C758A" w:rsidRDefault="00434693" w:rsidP="00434693">
      <w:pPr>
        <w:pStyle w:val="BodyText"/>
        <w:spacing w:after="0"/>
        <w:jc w:val="both"/>
        <w:rPr>
          <w:rFonts w:cs="Arial"/>
          <w:bCs/>
          <w:iCs/>
        </w:rPr>
      </w:pPr>
      <w:r w:rsidRPr="000C758A">
        <w:rPr>
          <w:rFonts w:cs="Arial"/>
          <w:bCs/>
          <w:iCs/>
        </w:rPr>
        <w:t>Before the signing of this Agreement, the subcontractor/vendor will provide a copy of the organization's AISA or Ministry of Commerce license and TIN (Tax Identification Number).   Amounts deducted from the invoices will be forwarded to the Ministry of Finance (MOF) Tax Division credited to the firm's TIN.  Records of payments to the MOF shall be maintained on file with DAI.</w:t>
      </w:r>
    </w:p>
    <w:p w14:paraId="5445570A" w14:textId="77777777" w:rsidR="00434693" w:rsidRPr="000C758A" w:rsidRDefault="00434693" w:rsidP="00434693">
      <w:pPr>
        <w:pStyle w:val="BodyText"/>
        <w:spacing w:after="0"/>
        <w:jc w:val="both"/>
        <w:rPr>
          <w:rFonts w:cs="Arial"/>
          <w:bCs/>
          <w:iCs/>
          <w:sz w:val="18"/>
          <w:szCs w:val="18"/>
        </w:rPr>
      </w:pPr>
    </w:p>
    <w:p w14:paraId="0328F72C" w14:textId="77777777" w:rsidR="00434693" w:rsidRPr="000C758A" w:rsidRDefault="00434693" w:rsidP="00434693">
      <w:pPr>
        <w:pStyle w:val="BodyText"/>
        <w:numPr>
          <w:ilvl w:val="0"/>
          <w:numId w:val="24"/>
        </w:numPr>
        <w:jc w:val="both"/>
        <w:rPr>
          <w:rFonts w:cs="Arial"/>
          <w:b/>
          <w:bCs/>
          <w:iCs/>
          <w:sz w:val="18"/>
          <w:szCs w:val="18"/>
        </w:rPr>
      </w:pPr>
      <w:r w:rsidRPr="000C758A">
        <w:rPr>
          <w:rFonts w:cs="Arial"/>
          <w:b/>
          <w:bCs/>
          <w:iCs/>
          <w:sz w:val="18"/>
          <w:szCs w:val="18"/>
        </w:rPr>
        <w:t>Executive Order on Terrorism Financing</w:t>
      </w:r>
    </w:p>
    <w:p w14:paraId="559F12F9" w14:textId="77777777" w:rsidR="00434693" w:rsidRPr="000C758A" w:rsidRDefault="00434693" w:rsidP="00434693">
      <w:pPr>
        <w:pStyle w:val="BodyText"/>
        <w:jc w:val="both"/>
        <w:rPr>
          <w:rFonts w:cs="Arial"/>
          <w:bCs/>
          <w:iCs/>
        </w:rPr>
      </w:pPr>
      <w:r w:rsidRPr="000C758A">
        <w:rPr>
          <w:rFonts w:cs="Arial"/>
          <w:bCs/>
          <w:iCs/>
        </w:rPr>
        <w:t>The Contractor is reminded that U.S. Executive Orders (including E.O. 13224) and U.S. law prohibit transactions with, and the provision of resources and support to, individuals and organizations associated with terrorism</w:t>
      </w:r>
      <w:r w:rsidRPr="000C758A">
        <w:rPr>
          <w:rFonts w:cs="Arial"/>
          <w:b/>
          <w:bCs/>
          <w:iCs/>
        </w:rPr>
        <w:t xml:space="preserve">. </w:t>
      </w:r>
      <w:r w:rsidRPr="000C758A">
        <w:rPr>
          <w:rFonts w:cs="Arial"/>
          <w:bCs/>
          <w:iCs/>
        </w:rPr>
        <w:t>FAR 25.701 prohibits agencies and their contractors and subcontractors from acquiring any supplies or services from individuals or organizations, if any proclamation, Executive Order, Office of Foreign Assets Control (OFAC) regulations, or statute administered by OFAC would prohibit such a transaction. Accordingly, the Contracting Officer must check the U.S. Department of the Treasury’s OFAC List to ensure that the names of the Contractor and proposed subcontractors (and individuals from those organizations who have been made known to them), are not on the list. Mandatory FAR clause 52.225-13 Restrictions on Certain Foreign Purchases is included by reference in Section I.1 of this contract.</w:t>
      </w:r>
    </w:p>
    <w:p w14:paraId="52A7B8F1" w14:textId="77777777" w:rsidR="00434693" w:rsidRDefault="00434693" w:rsidP="00434693">
      <w:pPr>
        <w:pStyle w:val="BodyText"/>
        <w:jc w:val="both"/>
        <w:rPr>
          <w:rFonts w:cs="Arial"/>
          <w:bCs/>
          <w:iCs/>
        </w:rPr>
      </w:pPr>
      <w:r w:rsidRPr="000C758A">
        <w:rPr>
          <w:rFonts w:cs="Arial"/>
          <w:bCs/>
          <w:iCs/>
        </w:rPr>
        <w:t>By accepting the contract, the Contractor acknowledges and agrees that it is aware of the list as part of its compliance with the requirements of that clause. This clause must be included in all subcontracts/sub-awards issued under the contract.</w:t>
      </w:r>
    </w:p>
    <w:p w14:paraId="076EE845" w14:textId="77777777" w:rsidR="00434693" w:rsidRDefault="00434693" w:rsidP="00434693">
      <w:pPr>
        <w:pStyle w:val="BodyText"/>
        <w:jc w:val="both"/>
        <w:rPr>
          <w:rFonts w:cs="Arial"/>
          <w:bCs/>
          <w:iCs/>
        </w:rPr>
      </w:pPr>
    </w:p>
    <w:p w14:paraId="44D15610" w14:textId="22091FC2" w:rsidR="00434693" w:rsidRDefault="00434693" w:rsidP="00434693">
      <w:pPr>
        <w:pStyle w:val="BodyText"/>
        <w:jc w:val="both"/>
        <w:rPr>
          <w:rFonts w:cs="Arial"/>
          <w:bCs/>
          <w:iCs/>
        </w:rPr>
      </w:pPr>
    </w:p>
    <w:p w14:paraId="531426D9" w14:textId="77777777" w:rsidR="00434693" w:rsidRPr="000C758A" w:rsidRDefault="00434693" w:rsidP="00434693">
      <w:pPr>
        <w:pStyle w:val="BodyText"/>
        <w:jc w:val="both"/>
        <w:rPr>
          <w:rFonts w:cs="Arial"/>
          <w:bCs/>
          <w:iCs/>
        </w:rPr>
      </w:pPr>
    </w:p>
    <w:p w14:paraId="2DDF8A17" w14:textId="77777777" w:rsidR="00434693" w:rsidRPr="000C758A" w:rsidRDefault="00434693" w:rsidP="00434693">
      <w:pPr>
        <w:pStyle w:val="BodyText"/>
        <w:jc w:val="both"/>
        <w:rPr>
          <w:rFonts w:cs="Arial"/>
          <w:b/>
          <w:bCs/>
          <w:iCs/>
          <w:sz w:val="18"/>
          <w:szCs w:val="18"/>
        </w:rPr>
      </w:pPr>
      <w:r w:rsidRPr="000C758A">
        <w:rPr>
          <w:rFonts w:cs="Arial"/>
          <w:b/>
          <w:bCs/>
          <w:iCs/>
          <w:sz w:val="18"/>
          <w:szCs w:val="18"/>
        </w:rPr>
        <w:lastRenderedPageBreak/>
        <w:t>5.   Subcontracting Requirements (JAN 2012)</w:t>
      </w:r>
    </w:p>
    <w:p w14:paraId="73C16BDE" w14:textId="77777777" w:rsidR="00434693" w:rsidRPr="000C758A" w:rsidRDefault="00434693" w:rsidP="00434693">
      <w:pPr>
        <w:pStyle w:val="BodyText"/>
        <w:jc w:val="both"/>
        <w:rPr>
          <w:rFonts w:cs="Arial"/>
          <w:bCs/>
          <w:iCs/>
        </w:rPr>
      </w:pPr>
      <w:r w:rsidRPr="000C758A">
        <w:rPr>
          <w:rFonts w:cs="Arial"/>
          <w:bCs/>
          <w:iCs/>
        </w:rPr>
        <w:t>(a) Applicability: This section limits the number of tiers of sub-contracts to one tiers below the Vendor. The Vendor must not allow lower-tier subcontracts without the express written approval DAI. Should exceptional circumstances warrant subcontracting below one tier, the Vendor shall promptly request approval in writing from DAI. The Vendor shall include this clause in all subcontracts, and shall require subcontractors to include this clause in all lower-tier subcontracts. The Vendor shall be responsible for compliance with this clause by all subcontractors and lower-tier subcontractors.</w:t>
      </w:r>
    </w:p>
    <w:p w14:paraId="5E5429D8" w14:textId="77777777" w:rsidR="00434693" w:rsidRPr="000C758A" w:rsidRDefault="00434693" w:rsidP="00434693">
      <w:pPr>
        <w:pStyle w:val="BodyText"/>
        <w:numPr>
          <w:ilvl w:val="0"/>
          <w:numId w:val="25"/>
        </w:numPr>
        <w:jc w:val="both"/>
        <w:rPr>
          <w:rFonts w:cs="Arial"/>
          <w:b/>
          <w:bCs/>
          <w:iCs/>
          <w:sz w:val="18"/>
          <w:szCs w:val="18"/>
        </w:rPr>
      </w:pPr>
      <w:r w:rsidRPr="000C758A">
        <w:rPr>
          <w:rFonts w:cs="Arial"/>
          <w:b/>
          <w:bCs/>
          <w:iCs/>
          <w:sz w:val="18"/>
          <w:szCs w:val="18"/>
        </w:rPr>
        <w:t>Combating Trafficking in Persons (MAR 2015)</w:t>
      </w:r>
    </w:p>
    <w:p w14:paraId="5DD62998" w14:textId="77777777" w:rsidR="00434693" w:rsidRPr="000C758A" w:rsidRDefault="00434693" w:rsidP="00434693">
      <w:pPr>
        <w:pStyle w:val="BodyText"/>
        <w:jc w:val="both"/>
        <w:rPr>
          <w:rFonts w:cs="Arial"/>
          <w:bCs/>
          <w:iCs/>
        </w:rPr>
      </w:pPr>
      <w:r w:rsidRPr="000C758A">
        <w:rPr>
          <w:rFonts w:cs="Arial"/>
          <w:bCs/>
          <w:iCs/>
        </w:rPr>
        <w:t xml:space="preserve">(a) Definitions. As used in this clause— </w:t>
      </w:r>
    </w:p>
    <w:p w14:paraId="7C069C29" w14:textId="77777777" w:rsidR="00434693" w:rsidRPr="000C758A" w:rsidRDefault="00434693" w:rsidP="00434693">
      <w:pPr>
        <w:pStyle w:val="BodyText"/>
        <w:jc w:val="both"/>
        <w:rPr>
          <w:rFonts w:cs="Arial"/>
          <w:bCs/>
          <w:iCs/>
        </w:rPr>
      </w:pPr>
      <w:r w:rsidRPr="000C758A">
        <w:rPr>
          <w:rFonts w:cs="Arial"/>
          <w:bCs/>
          <w:iCs/>
        </w:rPr>
        <w:t>“Agent” means any individual, including a director, an officer, an employee, or an independent contractor, authorized to act on behalf of the organization.</w:t>
      </w:r>
    </w:p>
    <w:p w14:paraId="24A1B8F9" w14:textId="77777777" w:rsidR="00434693" w:rsidRPr="000C758A" w:rsidRDefault="00434693" w:rsidP="00434693">
      <w:pPr>
        <w:pStyle w:val="BodyText"/>
        <w:jc w:val="both"/>
        <w:rPr>
          <w:rFonts w:cs="Arial"/>
          <w:bCs/>
          <w:iCs/>
        </w:rPr>
      </w:pPr>
      <w:r w:rsidRPr="000C758A">
        <w:rPr>
          <w:rFonts w:cs="Arial"/>
          <w:bCs/>
          <w:iCs/>
        </w:rPr>
        <w:t>“Coercion” means—</w:t>
      </w:r>
    </w:p>
    <w:p w14:paraId="6B41E778" w14:textId="77777777" w:rsidR="00434693" w:rsidRPr="000C758A" w:rsidRDefault="00434693" w:rsidP="00434693">
      <w:pPr>
        <w:pStyle w:val="BodyText"/>
        <w:jc w:val="both"/>
        <w:rPr>
          <w:rFonts w:cs="Arial"/>
          <w:bCs/>
          <w:iCs/>
        </w:rPr>
      </w:pPr>
      <w:r w:rsidRPr="000C758A">
        <w:rPr>
          <w:rFonts w:cs="Arial"/>
          <w:bCs/>
          <w:iCs/>
        </w:rPr>
        <w:t>(1) Threats of serious harm to or physical restraint against any person;</w:t>
      </w:r>
    </w:p>
    <w:p w14:paraId="5A59DD94" w14:textId="77777777" w:rsidR="00434693" w:rsidRPr="000C758A" w:rsidRDefault="00434693" w:rsidP="00434693">
      <w:pPr>
        <w:pStyle w:val="BodyText"/>
        <w:jc w:val="both"/>
        <w:rPr>
          <w:rFonts w:cs="Arial"/>
          <w:bCs/>
          <w:iCs/>
        </w:rPr>
      </w:pPr>
      <w:r w:rsidRPr="000C758A">
        <w:rPr>
          <w:rFonts w:cs="Arial"/>
          <w:bCs/>
          <w:iCs/>
        </w:rPr>
        <w:t>(2) Any scheme, plan, or pattern intended to cause a person to believe that failure to perform an act would result in serious harm to or physical restraint against any person; or</w:t>
      </w:r>
    </w:p>
    <w:p w14:paraId="449661B0" w14:textId="77777777" w:rsidR="00434693" w:rsidRPr="000C758A" w:rsidRDefault="00434693" w:rsidP="00434693">
      <w:pPr>
        <w:pStyle w:val="BodyText"/>
        <w:jc w:val="both"/>
        <w:rPr>
          <w:rFonts w:cs="Arial"/>
          <w:bCs/>
          <w:iCs/>
        </w:rPr>
      </w:pPr>
      <w:r w:rsidRPr="000C758A">
        <w:rPr>
          <w:rFonts w:cs="Arial"/>
          <w:bCs/>
          <w:iCs/>
        </w:rPr>
        <w:t>(3) The abuse or threatened abuse of the legal process.</w:t>
      </w:r>
    </w:p>
    <w:p w14:paraId="582E7E7E" w14:textId="77777777" w:rsidR="00434693" w:rsidRPr="000C758A" w:rsidRDefault="00434693" w:rsidP="00434693">
      <w:pPr>
        <w:pStyle w:val="BodyText"/>
        <w:jc w:val="both"/>
        <w:rPr>
          <w:rFonts w:cs="Arial"/>
          <w:bCs/>
          <w:iCs/>
        </w:rPr>
      </w:pPr>
      <w:r w:rsidRPr="000C758A">
        <w:rPr>
          <w:rFonts w:cs="Arial"/>
          <w:bCs/>
          <w:iCs/>
        </w:rPr>
        <w:t>“Commercially available off-the-shelf (COTS) item” means—</w:t>
      </w:r>
    </w:p>
    <w:p w14:paraId="0AB794A6" w14:textId="77777777" w:rsidR="00434693" w:rsidRPr="000C758A" w:rsidRDefault="00434693" w:rsidP="00434693">
      <w:pPr>
        <w:pStyle w:val="BodyText"/>
        <w:jc w:val="both"/>
        <w:rPr>
          <w:rFonts w:cs="Arial"/>
          <w:bCs/>
          <w:iCs/>
        </w:rPr>
      </w:pPr>
      <w:r w:rsidRPr="000C758A">
        <w:rPr>
          <w:rFonts w:cs="Arial"/>
          <w:bCs/>
          <w:iCs/>
        </w:rPr>
        <w:t>(1) Any item of supply (including construction material) that is—</w:t>
      </w:r>
    </w:p>
    <w:p w14:paraId="3FCE54DC" w14:textId="77777777" w:rsidR="00434693" w:rsidRPr="000C758A" w:rsidRDefault="00434693" w:rsidP="00434693">
      <w:pPr>
        <w:pStyle w:val="BodyText"/>
        <w:jc w:val="both"/>
        <w:rPr>
          <w:rFonts w:cs="Arial"/>
          <w:bCs/>
          <w:iCs/>
        </w:rPr>
      </w:pPr>
      <w:r w:rsidRPr="000C758A">
        <w:rPr>
          <w:rFonts w:cs="Arial"/>
          <w:bCs/>
          <w:iCs/>
        </w:rPr>
        <w:t>(</w:t>
      </w:r>
      <w:proofErr w:type="spellStart"/>
      <w:r w:rsidRPr="000C758A">
        <w:rPr>
          <w:rFonts w:cs="Arial"/>
          <w:bCs/>
          <w:iCs/>
        </w:rPr>
        <w:t>i</w:t>
      </w:r>
      <w:proofErr w:type="spellEnd"/>
      <w:r w:rsidRPr="000C758A">
        <w:rPr>
          <w:rFonts w:cs="Arial"/>
          <w:bCs/>
          <w:iCs/>
        </w:rPr>
        <w:t xml:space="preserve">) A commercial item (as defined in paragraph (1) of the definition at FAR </w:t>
      </w:r>
      <w:hyperlink r:id="rId15" w:anchor="wp1145508" w:history="1">
        <w:r w:rsidRPr="000C758A">
          <w:rPr>
            <w:rStyle w:val="Hyperlink"/>
            <w:rFonts w:cs="Arial"/>
            <w:bCs/>
            <w:iCs/>
          </w:rPr>
          <w:t>2.101</w:t>
        </w:r>
      </w:hyperlink>
      <w:r w:rsidRPr="000C758A">
        <w:rPr>
          <w:rFonts w:cs="Arial"/>
          <w:bCs/>
          <w:iCs/>
        </w:rPr>
        <w:t xml:space="preserve">); </w:t>
      </w:r>
    </w:p>
    <w:p w14:paraId="699A4A5F" w14:textId="77777777" w:rsidR="00434693" w:rsidRPr="000C758A" w:rsidRDefault="00434693" w:rsidP="00434693">
      <w:pPr>
        <w:pStyle w:val="BodyText"/>
        <w:jc w:val="both"/>
        <w:rPr>
          <w:rFonts w:cs="Arial"/>
          <w:bCs/>
          <w:iCs/>
        </w:rPr>
      </w:pPr>
      <w:r w:rsidRPr="000C758A">
        <w:rPr>
          <w:rFonts w:cs="Arial"/>
          <w:bCs/>
          <w:iCs/>
        </w:rPr>
        <w:t>(ii) Sold in substantial quantities in the commercial marketplace; and</w:t>
      </w:r>
    </w:p>
    <w:p w14:paraId="5F23FF2B" w14:textId="77777777" w:rsidR="00434693" w:rsidRPr="000C758A" w:rsidRDefault="00434693" w:rsidP="00434693">
      <w:pPr>
        <w:pStyle w:val="BodyText"/>
        <w:jc w:val="both"/>
        <w:rPr>
          <w:rFonts w:cs="Arial"/>
          <w:bCs/>
          <w:iCs/>
        </w:rPr>
      </w:pPr>
      <w:r w:rsidRPr="000C758A">
        <w:rPr>
          <w:rFonts w:cs="Arial"/>
          <w:bCs/>
          <w:iCs/>
        </w:rPr>
        <w:t>(iii) Offered to the Government, under a contract or subcontract at any tier, without modification, in the same form in which it is sold in the commercial marketplace; and</w:t>
      </w:r>
    </w:p>
    <w:p w14:paraId="0300FA9A" w14:textId="77777777" w:rsidR="00434693" w:rsidRPr="000C758A" w:rsidRDefault="00434693" w:rsidP="00434693">
      <w:pPr>
        <w:pStyle w:val="BodyText"/>
        <w:jc w:val="both"/>
        <w:rPr>
          <w:rFonts w:cs="Arial"/>
          <w:bCs/>
          <w:iCs/>
        </w:rPr>
      </w:pPr>
      <w:r w:rsidRPr="000C758A">
        <w:rPr>
          <w:rFonts w:cs="Arial"/>
          <w:bCs/>
          <w:iCs/>
        </w:rPr>
        <w:t xml:space="preserve">(2) Does not include bulk cargo, as defined in </w:t>
      </w:r>
      <w:hyperlink r:id="rId16" w:history="1">
        <w:r w:rsidRPr="000C758A">
          <w:rPr>
            <w:rStyle w:val="Hyperlink"/>
            <w:rFonts w:cs="Arial"/>
            <w:bCs/>
            <w:iCs/>
          </w:rPr>
          <w:t>http://uscode.house.gov/</w:t>
        </w:r>
      </w:hyperlink>
      <w:hyperlink r:id="rId17" w:history="1">
        <w:r w:rsidRPr="000C758A">
          <w:rPr>
            <w:rStyle w:val="Hyperlink"/>
            <w:rFonts w:cs="Arial"/>
            <w:bCs/>
            <w:iCs/>
          </w:rPr>
          <w:t>http://uscode.house.gov/</w:t>
        </w:r>
      </w:hyperlink>
      <w:r w:rsidRPr="000C758A">
        <w:rPr>
          <w:rFonts w:cs="Arial"/>
          <w:bCs/>
          <w:iCs/>
        </w:rPr>
        <w:t xml:space="preserve">46 U.S.C. 40102(4), such as agricultural products and petroleum products. </w:t>
      </w:r>
    </w:p>
    <w:p w14:paraId="579AA196" w14:textId="77777777" w:rsidR="00434693" w:rsidRPr="000C758A" w:rsidRDefault="00434693" w:rsidP="00434693">
      <w:pPr>
        <w:pStyle w:val="BodyText"/>
        <w:jc w:val="both"/>
        <w:rPr>
          <w:rFonts w:cs="Arial"/>
          <w:bCs/>
          <w:iCs/>
        </w:rPr>
      </w:pPr>
      <w:r w:rsidRPr="000C758A">
        <w:rPr>
          <w:rFonts w:cs="Arial"/>
          <w:bCs/>
          <w:iCs/>
        </w:rPr>
        <w:t>“Commercial sex act” means any sex act on account of which anything of value is given to or received by any person.</w:t>
      </w:r>
    </w:p>
    <w:p w14:paraId="6235E7CF" w14:textId="77777777" w:rsidR="00434693" w:rsidRPr="000C758A" w:rsidRDefault="00434693" w:rsidP="00434693">
      <w:pPr>
        <w:pStyle w:val="BodyText"/>
        <w:jc w:val="both"/>
        <w:rPr>
          <w:rFonts w:cs="Arial"/>
          <w:bCs/>
          <w:iCs/>
        </w:rPr>
      </w:pPr>
      <w:r w:rsidRPr="000C758A">
        <w:rPr>
          <w:rFonts w:cs="Arial"/>
          <w:bCs/>
          <w:iCs/>
        </w:rPr>
        <w:t>“Debt bondage” means the status or condition of a debtor arising from a pledge by the debtor of his or her personal services or of those of a person under his or her control as a security for debt, if the value of those services as reasonably assessed is not applied toward the liquidation of the debt or the length and nature of those services are not respectively limited and defined.</w:t>
      </w:r>
    </w:p>
    <w:p w14:paraId="490AEBC1" w14:textId="77777777" w:rsidR="00434693" w:rsidRPr="000C758A" w:rsidRDefault="00434693" w:rsidP="00434693">
      <w:pPr>
        <w:pStyle w:val="BodyText"/>
        <w:jc w:val="both"/>
        <w:rPr>
          <w:rFonts w:cs="Arial"/>
          <w:bCs/>
          <w:iCs/>
        </w:rPr>
      </w:pPr>
      <w:r w:rsidRPr="000C758A">
        <w:rPr>
          <w:rFonts w:cs="Arial"/>
          <w:bCs/>
          <w:iCs/>
        </w:rPr>
        <w:t>“Employee” means an employee of the Contractor directly engaged in the performance of work under the contract who has other than a minimal impact or involvement in contract performance.</w:t>
      </w:r>
    </w:p>
    <w:p w14:paraId="4303391C" w14:textId="77777777" w:rsidR="00434693" w:rsidRPr="000C758A" w:rsidRDefault="00434693" w:rsidP="00434693">
      <w:pPr>
        <w:pStyle w:val="BodyText"/>
        <w:jc w:val="both"/>
        <w:rPr>
          <w:rFonts w:cs="Arial"/>
          <w:bCs/>
          <w:iCs/>
        </w:rPr>
      </w:pPr>
      <w:r w:rsidRPr="000C758A">
        <w:rPr>
          <w:rFonts w:cs="Arial"/>
          <w:bCs/>
          <w:iCs/>
        </w:rPr>
        <w:t>“Forced Labor” means knowingly providing or obtaining the labor or services of a person—</w:t>
      </w:r>
    </w:p>
    <w:p w14:paraId="6DB2B385" w14:textId="77777777" w:rsidR="00434693" w:rsidRPr="000C758A" w:rsidRDefault="00434693" w:rsidP="00434693">
      <w:pPr>
        <w:pStyle w:val="BodyText"/>
        <w:jc w:val="both"/>
        <w:rPr>
          <w:rFonts w:cs="Arial"/>
          <w:bCs/>
          <w:iCs/>
        </w:rPr>
      </w:pPr>
      <w:r w:rsidRPr="000C758A">
        <w:rPr>
          <w:rFonts w:cs="Arial"/>
          <w:bCs/>
          <w:iCs/>
        </w:rPr>
        <w:t>(1) By threats of serious harm to, or physical restraint against, that person or another person;</w:t>
      </w:r>
    </w:p>
    <w:p w14:paraId="7B9DF909" w14:textId="77777777" w:rsidR="00434693" w:rsidRPr="000C758A" w:rsidRDefault="00434693" w:rsidP="00434693">
      <w:pPr>
        <w:pStyle w:val="BodyText"/>
        <w:jc w:val="both"/>
        <w:rPr>
          <w:rFonts w:cs="Arial"/>
          <w:bCs/>
          <w:iCs/>
        </w:rPr>
      </w:pPr>
      <w:r w:rsidRPr="000C758A">
        <w:rPr>
          <w:rFonts w:cs="Arial"/>
          <w:bCs/>
          <w:iCs/>
        </w:rPr>
        <w:lastRenderedPageBreak/>
        <w:t>(2) By means of any scheme, plan, or pattern intended to cause the person to believe that, if the person did not perform such labor or services, that person or another person would suffer serious harm or physical restraint; or</w:t>
      </w:r>
    </w:p>
    <w:p w14:paraId="7667DB0F" w14:textId="77777777" w:rsidR="00434693" w:rsidRPr="000C758A" w:rsidRDefault="00434693" w:rsidP="00434693">
      <w:pPr>
        <w:pStyle w:val="BodyText"/>
        <w:jc w:val="both"/>
        <w:rPr>
          <w:rFonts w:cs="Arial"/>
          <w:bCs/>
          <w:iCs/>
        </w:rPr>
      </w:pPr>
      <w:r w:rsidRPr="000C758A">
        <w:rPr>
          <w:rFonts w:cs="Arial"/>
          <w:bCs/>
          <w:iCs/>
        </w:rPr>
        <w:t>(3) By means of the abuse or threatened abuse of law or the legal process.</w:t>
      </w:r>
    </w:p>
    <w:p w14:paraId="094BB3FB" w14:textId="77777777" w:rsidR="00434693" w:rsidRPr="000C758A" w:rsidRDefault="00434693" w:rsidP="00434693">
      <w:pPr>
        <w:pStyle w:val="BodyText"/>
        <w:jc w:val="both"/>
        <w:rPr>
          <w:rFonts w:cs="Arial"/>
          <w:bCs/>
          <w:iCs/>
        </w:rPr>
      </w:pPr>
      <w:r w:rsidRPr="000C758A">
        <w:rPr>
          <w:rFonts w:cs="Arial"/>
          <w:bCs/>
          <w:iCs/>
        </w:rPr>
        <w:t>“Involuntary servitude” includes a condition of servitude induced by means of—</w:t>
      </w:r>
    </w:p>
    <w:p w14:paraId="38445C75" w14:textId="77777777" w:rsidR="00434693" w:rsidRPr="000C758A" w:rsidRDefault="00434693" w:rsidP="00434693">
      <w:pPr>
        <w:pStyle w:val="BodyText"/>
        <w:jc w:val="both"/>
        <w:rPr>
          <w:rFonts w:cs="Arial"/>
          <w:bCs/>
          <w:iCs/>
        </w:rPr>
      </w:pPr>
      <w:r w:rsidRPr="000C758A">
        <w:rPr>
          <w:rFonts w:cs="Arial"/>
          <w:bCs/>
          <w:iCs/>
        </w:rPr>
        <w:t>(1) Any scheme, plan, or pattern intended to cause a person to believe that, if the person did not enter into or continue in such conditions, that person or another person would suffer serious harm or physical restraint; or</w:t>
      </w:r>
    </w:p>
    <w:p w14:paraId="319BB7CA" w14:textId="77777777" w:rsidR="00434693" w:rsidRPr="000C758A" w:rsidRDefault="00434693" w:rsidP="00434693">
      <w:pPr>
        <w:pStyle w:val="BodyText"/>
        <w:jc w:val="both"/>
        <w:rPr>
          <w:rFonts w:cs="Arial"/>
          <w:bCs/>
          <w:iCs/>
        </w:rPr>
      </w:pPr>
      <w:r w:rsidRPr="000C758A">
        <w:rPr>
          <w:rFonts w:cs="Arial"/>
          <w:bCs/>
          <w:iCs/>
        </w:rPr>
        <w:t>(2) The abuse or threatened abuse of the legal process.</w:t>
      </w:r>
    </w:p>
    <w:p w14:paraId="3DE69E91" w14:textId="77777777" w:rsidR="00434693" w:rsidRPr="000C758A" w:rsidRDefault="00434693" w:rsidP="00434693">
      <w:pPr>
        <w:pStyle w:val="BodyText"/>
        <w:jc w:val="both"/>
        <w:rPr>
          <w:rFonts w:cs="Arial"/>
          <w:bCs/>
          <w:iCs/>
        </w:rPr>
      </w:pPr>
      <w:r w:rsidRPr="000C758A">
        <w:rPr>
          <w:rFonts w:cs="Arial"/>
          <w:bCs/>
          <w:iCs/>
        </w:rPr>
        <w:t>“Severe forms of trafficking in persons” means—</w:t>
      </w:r>
    </w:p>
    <w:p w14:paraId="535E06E1" w14:textId="77777777" w:rsidR="00434693" w:rsidRPr="000C758A" w:rsidRDefault="00434693" w:rsidP="00434693">
      <w:pPr>
        <w:pStyle w:val="BodyText"/>
        <w:jc w:val="both"/>
        <w:rPr>
          <w:rFonts w:cs="Arial"/>
          <w:bCs/>
          <w:iCs/>
        </w:rPr>
      </w:pPr>
      <w:r w:rsidRPr="000C758A">
        <w:rPr>
          <w:rFonts w:cs="Arial"/>
          <w:bCs/>
          <w:iCs/>
        </w:rPr>
        <w:t>(1) Sex trafficking in which a commercial sex act is induced by force, fraud, or coercion, or in which the person induced to perform such act has not attained 18 years of age; or</w:t>
      </w:r>
    </w:p>
    <w:p w14:paraId="593AB649" w14:textId="77777777" w:rsidR="00434693" w:rsidRPr="000C758A" w:rsidRDefault="00434693" w:rsidP="00434693">
      <w:pPr>
        <w:pStyle w:val="BodyText"/>
        <w:jc w:val="both"/>
        <w:rPr>
          <w:rFonts w:cs="Arial"/>
          <w:bCs/>
          <w:iCs/>
        </w:rPr>
      </w:pPr>
      <w:r w:rsidRPr="000C758A">
        <w:rPr>
          <w:rFonts w:cs="Arial"/>
          <w:bCs/>
          <w:iCs/>
        </w:rPr>
        <w:t>(2) The recruitment, harboring, transportation, provision, or obtaining of a person for labor or services, through the use of force, fraud, or coercion for the purpose of subjection to involuntary servitude, peonage, debt bondage, or slavery.</w:t>
      </w:r>
    </w:p>
    <w:p w14:paraId="3C6FF279" w14:textId="77777777" w:rsidR="00434693" w:rsidRPr="000C758A" w:rsidRDefault="00434693" w:rsidP="00434693">
      <w:pPr>
        <w:pStyle w:val="BodyText"/>
        <w:jc w:val="both"/>
        <w:rPr>
          <w:rFonts w:cs="Arial"/>
          <w:bCs/>
          <w:iCs/>
        </w:rPr>
      </w:pPr>
      <w:r w:rsidRPr="000C758A">
        <w:rPr>
          <w:rFonts w:cs="Arial"/>
          <w:bCs/>
          <w:iCs/>
        </w:rPr>
        <w:t>“Sex trafficking” means the recruitment, harboring, transportation, provision, or obtaining of a person for the purpose of a commercial sex act.</w:t>
      </w:r>
    </w:p>
    <w:p w14:paraId="2DB5F1A3" w14:textId="77777777" w:rsidR="00434693" w:rsidRPr="000C758A" w:rsidRDefault="00434693" w:rsidP="00434693">
      <w:pPr>
        <w:pStyle w:val="BodyText"/>
        <w:jc w:val="both"/>
        <w:rPr>
          <w:rFonts w:cs="Arial"/>
          <w:bCs/>
          <w:iCs/>
        </w:rPr>
      </w:pPr>
      <w:r w:rsidRPr="000C758A">
        <w:rPr>
          <w:rFonts w:cs="Arial"/>
          <w:bCs/>
          <w:iCs/>
        </w:rPr>
        <w:t>“Subcontract” means any contract entered into by a subcontractor to furnish supplies or services for performance of a prime contract or a subcontract.</w:t>
      </w:r>
    </w:p>
    <w:p w14:paraId="3803C059" w14:textId="77777777" w:rsidR="00434693" w:rsidRPr="000C758A" w:rsidRDefault="00434693" w:rsidP="00434693">
      <w:pPr>
        <w:pStyle w:val="BodyText"/>
        <w:jc w:val="both"/>
        <w:rPr>
          <w:rFonts w:cs="Arial"/>
          <w:bCs/>
          <w:iCs/>
        </w:rPr>
      </w:pPr>
      <w:r w:rsidRPr="000C758A">
        <w:rPr>
          <w:rFonts w:cs="Arial"/>
          <w:bCs/>
          <w:iCs/>
        </w:rPr>
        <w:t>“Subcontractor” means any supplier, distributor, vendor, or firm that furnishes supplies or services to or for a prime contractor or another subcontractor.</w:t>
      </w:r>
    </w:p>
    <w:p w14:paraId="02F6F0C6" w14:textId="77777777" w:rsidR="00434693" w:rsidRPr="000C758A" w:rsidRDefault="00434693" w:rsidP="00434693">
      <w:pPr>
        <w:pStyle w:val="BodyText"/>
        <w:jc w:val="both"/>
        <w:rPr>
          <w:rFonts w:cs="Arial"/>
          <w:bCs/>
          <w:iCs/>
        </w:rPr>
      </w:pPr>
      <w:r w:rsidRPr="000C758A">
        <w:rPr>
          <w:rFonts w:cs="Arial"/>
          <w:bCs/>
          <w:iCs/>
        </w:rPr>
        <w:t>“United States” means the 50 States, the District of Columbia, and outlying areas.</w:t>
      </w:r>
    </w:p>
    <w:p w14:paraId="567F989F" w14:textId="77777777" w:rsidR="00434693" w:rsidRPr="000C758A" w:rsidRDefault="00434693" w:rsidP="00434693">
      <w:pPr>
        <w:pStyle w:val="BodyText"/>
        <w:jc w:val="both"/>
        <w:rPr>
          <w:rFonts w:cs="Arial"/>
          <w:bCs/>
          <w:iCs/>
        </w:rPr>
      </w:pPr>
      <w:r w:rsidRPr="000C758A">
        <w:rPr>
          <w:rFonts w:cs="Arial"/>
          <w:bCs/>
          <w:iCs/>
        </w:rPr>
        <w:t xml:space="preserve">(b) Policy. The United States Government has adopted a policy prohibiting trafficking in persons including the trafficking-related activities of this clause. Contractors, contractor employees, and their agents shall not— </w:t>
      </w:r>
    </w:p>
    <w:p w14:paraId="780EEA8C" w14:textId="77777777" w:rsidR="00434693" w:rsidRPr="000C758A" w:rsidRDefault="00434693" w:rsidP="00434693">
      <w:pPr>
        <w:pStyle w:val="BodyText"/>
        <w:jc w:val="both"/>
        <w:rPr>
          <w:rFonts w:cs="Arial"/>
          <w:bCs/>
          <w:iCs/>
        </w:rPr>
      </w:pPr>
      <w:r w:rsidRPr="000C758A">
        <w:rPr>
          <w:rFonts w:cs="Arial"/>
          <w:bCs/>
          <w:iCs/>
        </w:rPr>
        <w:t>(1) Engage in severe forms of trafficking in persons during the period of performance of the contract;</w:t>
      </w:r>
    </w:p>
    <w:p w14:paraId="6F48E515" w14:textId="77777777" w:rsidR="00434693" w:rsidRPr="000C758A" w:rsidRDefault="00434693" w:rsidP="00434693">
      <w:pPr>
        <w:pStyle w:val="BodyText"/>
        <w:jc w:val="both"/>
        <w:rPr>
          <w:rFonts w:cs="Arial"/>
          <w:bCs/>
          <w:iCs/>
        </w:rPr>
      </w:pPr>
      <w:r w:rsidRPr="000C758A">
        <w:rPr>
          <w:rFonts w:cs="Arial"/>
          <w:bCs/>
          <w:iCs/>
        </w:rPr>
        <w:t>(2) Procure commercial sex acts during the period of performance of the contract;</w:t>
      </w:r>
    </w:p>
    <w:p w14:paraId="5A8949F1" w14:textId="77777777" w:rsidR="00434693" w:rsidRPr="000C758A" w:rsidRDefault="00434693" w:rsidP="00434693">
      <w:pPr>
        <w:pStyle w:val="BodyText"/>
        <w:jc w:val="both"/>
        <w:rPr>
          <w:rFonts w:cs="Arial"/>
          <w:bCs/>
          <w:iCs/>
        </w:rPr>
      </w:pPr>
      <w:r w:rsidRPr="000C758A">
        <w:rPr>
          <w:rFonts w:cs="Arial"/>
          <w:bCs/>
          <w:iCs/>
        </w:rPr>
        <w:t>(3) Use forced labor in the performance of the contract;</w:t>
      </w:r>
    </w:p>
    <w:p w14:paraId="5FE6915E" w14:textId="77777777" w:rsidR="00434693" w:rsidRPr="000C758A" w:rsidRDefault="00434693" w:rsidP="00434693">
      <w:pPr>
        <w:pStyle w:val="BodyText"/>
        <w:jc w:val="both"/>
        <w:rPr>
          <w:rFonts w:cs="Arial"/>
          <w:bCs/>
          <w:iCs/>
        </w:rPr>
      </w:pPr>
      <w:r w:rsidRPr="000C758A">
        <w:rPr>
          <w:rFonts w:cs="Arial"/>
          <w:bCs/>
          <w:iCs/>
        </w:rPr>
        <w:t xml:space="preserve">(4) Destroy, conceal, confiscate, or otherwise deny access by an employee to the employee’s identity or immigration documents, such as passports or drivers' licenses, regardless of issuing authority; </w:t>
      </w:r>
    </w:p>
    <w:p w14:paraId="2B63B5CA" w14:textId="77777777" w:rsidR="00434693" w:rsidRPr="000C758A" w:rsidRDefault="00434693" w:rsidP="00434693">
      <w:pPr>
        <w:pStyle w:val="BodyText"/>
        <w:jc w:val="both"/>
        <w:rPr>
          <w:rFonts w:cs="Arial"/>
          <w:bCs/>
          <w:iCs/>
        </w:rPr>
      </w:pPr>
      <w:r w:rsidRPr="000C758A">
        <w:rPr>
          <w:rFonts w:cs="Arial"/>
          <w:bCs/>
          <w:iCs/>
        </w:rPr>
        <w:t>(5)(</w:t>
      </w:r>
      <w:proofErr w:type="spellStart"/>
      <w:r w:rsidRPr="000C758A">
        <w:rPr>
          <w:rFonts w:cs="Arial"/>
          <w:bCs/>
          <w:iCs/>
        </w:rPr>
        <w:t>i</w:t>
      </w:r>
      <w:proofErr w:type="spellEnd"/>
      <w:r w:rsidRPr="000C758A">
        <w:rPr>
          <w:rFonts w:cs="Arial"/>
          <w:bCs/>
          <w:iCs/>
        </w:rPr>
        <w:t>) Use misleading or fraudulent practices during the recruitment of employees or offering of employment, such as failing to disclose, in a format and language accessible to the worker,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 to be charged to the employee, and, if applicable, the hazardous nature of the work;</w:t>
      </w:r>
    </w:p>
    <w:p w14:paraId="2B41DCC7" w14:textId="77777777" w:rsidR="00434693" w:rsidRPr="000C758A" w:rsidRDefault="00434693" w:rsidP="00434693">
      <w:pPr>
        <w:pStyle w:val="BodyText"/>
        <w:jc w:val="both"/>
        <w:rPr>
          <w:rFonts w:cs="Arial"/>
          <w:bCs/>
          <w:iCs/>
        </w:rPr>
      </w:pPr>
      <w:r w:rsidRPr="000C758A">
        <w:rPr>
          <w:rFonts w:cs="Arial"/>
          <w:bCs/>
          <w:iCs/>
        </w:rPr>
        <w:t>(ii) Use recruiters that do not comply with local labor laws of the country in which the recruiting takes place;</w:t>
      </w:r>
    </w:p>
    <w:p w14:paraId="18BF8255" w14:textId="77777777" w:rsidR="00434693" w:rsidRPr="000C758A" w:rsidRDefault="00434693" w:rsidP="00434693">
      <w:pPr>
        <w:pStyle w:val="BodyText"/>
        <w:jc w:val="both"/>
        <w:rPr>
          <w:rFonts w:cs="Arial"/>
          <w:bCs/>
          <w:iCs/>
        </w:rPr>
      </w:pPr>
      <w:r w:rsidRPr="000C758A">
        <w:rPr>
          <w:rFonts w:cs="Arial"/>
          <w:bCs/>
          <w:iCs/>
        </w:rPr>
        <w:lastRenderedPageBreak/>
        <w:t>(6) Charge employees’ recruitment fees;</w:t>
      </w:r>
    </w:p>
    <w:p w14:paraId="05F7A7A9" w14:textId="77777777" w:rsidR="00434693" w:rsidRPr="000C758A" w:rsidRDefault="00434693" w:rsidP="00434693">
      <w:pPr>
        <w:pStyle w:val="BodyText"/>
        <w:jc w:val="both"/>
        <w:rPr>
          <w:rFonts w:cs="Arial"/>
          <w:bCs/>
          <w:iCs/>
        </w:rPr>
      </w:pPr>
      <w:r w:rsidRPr="000C758A">
        <w:rPr>
          <w:rFonts w:cs="Arial"/>
          <w:bCs/>
          <w:iCs/>
        </w:rPr>
        <w:t>(7)(</w:t>
      </w:r>
      <w:proofErr w:type="spellStart"/>
      <w:r w:rsidRPr="000C758A">
        <w:rPr>
          <w:rFonts w:cs="Arial"/>
          <w:bCs/>
          <w:iCs/>
        </w:rPr>
        <w:t>i</w:t>
      </w:r>
      <w:proofErr w:type="spellEnd"/>
      <w:r w:rsidRPr="000C758A">
        <w:rPr>
          <w:rFonts w:cs="Arial"/>
          <w:bCs/>
          <w:iCs/>
        </w:rPr>
        <w:t>) Fail to provide return transportation or pay for the cost of return transportation upon the end of employment—</w:t>
      </w:r>
    </w:p>
    <w:p w14:paraId="08E7BB64" w14:textId="77777777" w:rsidR="00434693" w:rsidRPr="000C758A" w:rsidRDefault="00434693" w:rsidP="00434693">
      <w:pPr>
        <w:pStyle w:val="BodyText"/>
        <w:jc w:val="both"/>
        <w:rPr>
          <w:rFonts w:cs="Arial"/>
          <w:bCs/>
          <w:iCs/>
        </w:rPr>
      </w:pPr>
      <w:r w:rsidRPr="000C758A">
        <w:rPr>
          <w:rFonts w:cs="Arial"/>
          <w:bCs/>
          <w:iCs/>
        </w:rPr>
        <w:t>(A) For an employee who is not a national of the country in which the work is taking place and who was brought into that country for the purpose of working on a U.S. Government contract or subcontract (for portions of contracts performed outside the United States); or</w:t>
      </w:r>
    </w:p>
    <w:p w14:paraId="3D0C9942" w14:textId="77777777" w:rsidR="00434693" w:rsidRPr="000C758A" w:rsidRDefault="00434693" w:rsidP="00434693">
      <w:pPr>
        <w:pStyle w:val="BodyText"/>
        <w:jc w:val="both"/>
        <w:rPr>
          <w:rFonts w:cs="Arial"/>
          <w:bCs/>
          <w:iCs/>
        </w:rPr>
      </w:pPr>
      <w:r w:rsidRPr="000C758A">
        <w:rPr>
          <w:rFonts w:cs="Arial"/>
          <w:bCs/>
          <w:iCs/>
        </w:rPr>
        <w:t>(B) For an employee who is not a United States national and who was brought into the United States for the purpose of working on a U.S. Government contract or subcontract, if the payment of such costs is required under existing temporary worker programs or pursuant to a written agreement with the employee (for portions of contracts performed inside the United States); except that—</w:t>
      </w:r>
    </w:p>
    <w:p w14:paraId="27606014" w14:textId="77777777" w:rsidR="00434693" w:rsidRPr="000C758A" w:rsidRDefault="00434693" w:rsidP="00434693">
      <w:pPr>
        <w:pStyle w:val="BodyText"/>
        <w:jc w:val="both"/>
        <w:rPr>
          <w:rFonts w:cs="Arial"/>
          <w:bCs/>
          <w:iCs/>
        </w:rPr>
      </w:pPr>
      <w:r w:rsidRPr="000C758A">
        <w:rPr>
          <w:rFonts w:cs="Arial"/>
          <w:bCs/>
          <w:iCs/>
        </w:rPr>
        <w:t>(ii) The requirements of paragraphs (b)(7)(</w:t>
      </w:r>
      <w:proofErr w:type="spellStart"/>
      <w:r w:rsidRPr="000C758A">
        <w:rPr>
          <w:rFonts w:cs="Arial"/>
          <w:bCs/>
          <w:iCs/>
        </w:rPr>
        <w:t>i</w:t>
      </w:r>
      <w:proofErr w:type="spellEnd"/>
      <w:r w:rsidRPr="000C758A">
        <w:rPr>
          <w:rFonts w:cs="Arial"/>
          <w:bCs/>
          <w:iCs/>
        </w:rPr>
        <w:t>) of this clause shall not apply to an employee who is—</w:t>
      </w:r>
    </w:p>
    <w:p w14:paraId="3752B6B5" w14:textId="77777777" w:rsidR="00434693" w:rsidRPr="000C758A" w:rsidRDefault="00434693" w:rsidP="00434693">
      <w:pPr>
        <w:pStyle w:val="BodyText"/>
        <w:jc w:val="both"/>
        <w:rPr>
          <w:rFonts w:cs="Arial"/>
          <w:bCs/>
          <w:iCs/>
        </w:rPr>
      </w:pPr>
      <w:r w:rsidRPr="000C758A">
        <w:rPr>
          <w:rFonts w:cs="Arial"/>
          <w:bCs/>
          <w:iCs/>
        </w:rPr>
        <w:t>(A) Legally permitted to remain in the country of employment and who chooses to do so; or</w:t>
      </w:r>
    </w:p>
    <w:p w14:paraId="7B38169E" w14:textId="77777777" w:rsidR="00434693" w:rsidRPr="000C758A" w:rsidRDefault="00434693" w:rsidP="00434693">
      <w:pPr>
        <w:pStyle w:val="BodyText"/>
        <w:jc w:val="both"/>
        <w:rPr>
          <w:rFonts w:cs="Arial"/>
          <w:bCs/>
          <w:iCs/>
        </w:rPr>
      </w:pPr>
      <w:r w:rsidRPr="000C758A">
        <w:rPr>
          <w:rFonts w:cs="Arial"/>
          <w:bCs/>
          <w:iCs/>
        </w:rPr>
        <w:t>(B) Exempted by an authorized official of the contracting agency from the requirement to provide return transportation or pay for the cost of return transportation;</w:t>
      </w:r>
    </w:p>
    <w:p w14:paraId="31C89593" w14:textId="77777777" w:rsidR="00434693" w:rsidRPr="000C758A" w:rsidRDefault="00434693" w:rsidP="00434693">
      <w:pPr>
        <w:pStyle w:val="BodyText"/>
        <w:jc w:val="both"/>
        <w:rPr>
          <w:rFonts w:cs="Arial"/>
          <w:bCs/>
          <w:iCs/>
        </w:rPr>
      </w:pPr>
      <w:r w:rsidRPr="000C758A">
        <w:rPr>
          <w:rFonts w:cs="Arial"/>
          <w:bCs/>
          <w:iCs/>
        </w:rPr>
        <w:t>(iii) The requirements of paragraph (b)(7)(</w:t>
      </w:r>
      <w:proofErr w:type="spellStart"/>
      <w:r w:rsidRPr="000C758A">
        <w:rPr>
          <w:rFonts w:cs="Arial"/>
          <w:bCs/>
          <w:iCs/>
        </w:rPr>
        <w:t>i</w:t>
      </w:r>
      <w:proofErr w:type="spellEnd"/>
      <w:r w:rsidRPr="000C758A">
        <w:rPr>
          <w:rFonts w:cs="Arial"/>
          <w:bCs/>
          <w:iCs/>
        </w:rPr>
        <w:t>) of this clause are modified for a victim of trafficking in persons who is seeking victim services or legal redress in the country of employment, or for a witness in an enforcement action related to trafficking in persons. The contractor shall provide the return transportation or pay the cost of return transportation in a way that does not obstruct the victim services, legal redress, or witness activity. For example, the contractor shall not only offer return transportation to a witness at a time when the witness is still needed to testify. This paragraph does not apply when the exemptions at paragraph (b)(7)(ii) of this clause apply.</w:t>
      </w:r>
    </w:p>
    <w:p w14:paraId="771EEAB6" w14:textId="77777777" w:rsidR="00434693" w:rsidRPr="000C758A" w:rsidRDefault="00434693" w:rsidP="00434693">
      <w:pPr>
        <w:pStyle w:val="BodyText"/>
        <w:jc w:val="both"/>
        <w:rPr>
          <w:rFonts w:cs="Arial"/>
          <w:bCs/>
          <w:iCs/>
        </w:rPr>
      </w:pPr>
      <w:r w:rsidRPr="000C758A">
        <w:rPr>
          <w:rFonts w:cs="Arial"/>
          <w:bCs/>
          <w:iCs/>
        </w:rPr>
        <w:t xml:space="preserve">(8) Provide or arrange housing that fails to meet the host country housing and safety standards; or </w:t>
      </w:r>
    </w:p>
    <w:p w14:paraId="781F3ECD" w14:textId="77777777" w:rsidR="00434693" w:rsidRDefault="00434693" w:rsidP="00434693">
      <w:pPr>
        <w:pStyle w:val="BodyText"/>
        <w:jc w:val="both"/>
        <w:rPr>
          <w:rFonts w:cs="Arial"/>
          <w:bCs/>
          <w:iCs/>
        </w:rPr>
      </w:pPr>
      <w:r w:rsidRPr="000C758A">
        <w:rPr>
          <w:rFonts w:cs="Arial"/>
          <w:bCs/>
          <w:iCs/>
        </w:rPr>
        <w:t>(9) If required by law or contract, fail to provide an employment contract, recruitment agreement, or other required work document in writing. Such written work document shall be in a language the employee understands. If the employee must relocate to perform the work, the work document shall be provided to the employee at least five days prior to the employee relocating. The employee’s work document shall include, but is not limited to, details about work description, wages, prohibition on charging recruitment fees, work location(s), living accommodations and associated costs, time off, roundtrip transportation arrangements, grievance process, and the content of applicable laws and regulations that prohibit trafficking in persons.</w:t>
      </w:r>
    </w:p>
    <w:p w14:paraId="61B933E2" w14:textId="77777777" w:rsidR="00434693" w:rsidRPr="000C758A" w:rsidRDefault="00434693" w:rsidP="00434693">
      <w:pPr>
        <w:pStyle w:val="BodyText"/>
        <w:jc w:val="both"/>
        <w:rPr>
          <w:rFonts w:cs="Arial"/>
          <w:bCs/>
          <w:iCs/>
        </w:rPr>
      </w:pPr>
      <w:r w:rsidRPr="000C758A">
        <w:rPr>
          <w:rFonts w:cs="Arial"/>
          <w:bCs/>
          <w:iCs/>
        </w:rPr>
        <w:t xml:space="preserve">(c) Contractor requirements. The Contractor shall— </w:t>
      </w:r>
    </w:p>
    <w:p w14:paraId="19085738" w14:textId="77777777" w:rsidR="00434693" w:rsidRPr="000C758A" w:rsidRDefault="00434693" w:rsidP="00434693">
      <w:pPr>
        <w:pStyle w:val="BodyText"/>
        <w:jc w:val="both"/>
        <w:rPr>
          <w:rFonts w:cs="Arial"/>
          <w:bCs/>
          <w:iCs/>
        </w:rPr>
      </w:pPr>
      <w:r w:rsidRPr="000C758A">
        <w:rPr>
          <w:rFonts w:cs="Arial"/>
          <w:bCs/>
          <w:iCs/>
        </w:rPr>
        <w:t>(1) Notify its employees and agents of—</w:t>
      </w:r>
    </w:p>
    <w:p w14:paraId="7006CB52" w14:textId="77777777" w:rsidR="00434693" w:rsidRPr="000C758A" w:rsidRDefault="00434693" w:rsidP="00434693">
      <w:pPr>
        <w:pStyle w:val="BodyText"/>
        <w:jc w:val="both"/>
        <w:rPr>
          <w:rFonts w:cs="Arial"/>
          <w:bCs/>
          <w:iCs/>
        </w:rPr>
      </w:pPr>
      <w:r w:rsidRPr="000C758A">
        <w:rPr>
          <w:rFonts w:cs="Arial"/>
          <w:bCs/>
          <w:iCs/>
        </w:rPr>
        <w:t>(</w:t>
      </w:r>
      <w:proofErr w:type="spellStart"/>
      <w:r w:rsidRPr="000C758A">
        <w:rPr>
          <w:rFonts w:cs="Arial"/>
          <w:bCs/>
          <w:iCs/>
        </w:rPr>
        <w:t>i</w:t>
      </w:r>
      <w:proofErr w:type="spellEnd"/>
      <w:r w:rsidRPr="000C758A">
        <w:rPr>
          <w:rFonts w:cs="Arial"/>
          <w:bCs/>
          <w:iCs/>
        </w:rPr>
        <w:t>) The United States Government's policy prohibiting trafficking in persons, described in paragraph (b) of this clause; and</w:t>
      </w:r>
    </w:p>
    <w:p w14:paraId="4FB2E9AC" w14:textId="77777777" w:rsidR="00434693" w:rsidRPr="000C758A" w:rsidRDefault="00434693" w:rsidP="00434693">
      <w:pPr>
        <w:pStyle w:val="BodyText"/>
        <w:jc w:val="both"/>
        <w:rPr>
          <w:rFonts w:cs="Arial"/>
          <w:bCs/>
          <w:iCs/>
        </w:rPr>
      </w:pPr>
      <w:r w:rsidRPr="000C758A">
        <w:rPr>
          <w:rFonts w:cs="Arial"/>
          <w:bCs/>
          <w:iCs/>
        </w:rPr>
        <w:t>(ii) The actions that will be taken against employees or agents for violations of this policy. Such actions for employees may include, but are not limited to, removal from the contract, reduction in benefits, or termination of employment; and</w:t>
      </w:r>
    </w:p>
    <w:p w14:paraId="1DBB4015" w14:textId="77777777" w:rsidR="00434693" w:rsidRPr="000C758A" w:rsidRDefault="00434693" w:rsidP="00434693">
      <w:pPr>
        <w:pStyle w:val="BodyText"/>
        <w:jc w:val="both"/>
        <w:rPr>
          <w:rFonts w:cs="Arial"/>
          <w:bCs/>
          <w:iCs/>
        </w:rPr>
      </w:pPr>
      <w:r w:rsidRPr="000C758A">
        <w:rPr>
          <w:rFonts w:cs="Arial"/>
          <w:bCs/>
          <w:iCs/>
        </w:rPr>
        <w:t>(2) Take appropriate action, up to and including termination, against employees, agents, or subcontractors that violate the policy in paragraph (b) of this clause.</w:t>
      </w:r>
    </w:p>
    <w:p w14:paraId="33961BE1" w14:textId="77777777" w:rsidR="00434693" w:rsidRPr="000C758A" w:rsidRDefault="00434693" w:rsidP="00434693">
      <w:pPr>
        <w:pStyle w:val="BodyText"/>
        <w:jc w:val="both"/>
        <w:rPr>
          <w:rFonts w:cs="Arial"/>
          <w:bCs/>
          <w:iCs/>
        </w:rPr>
      </w:pPr>
      <w:r w:rsidRPr="000C758A">
        <w:rPr>
          <w:rFonts w:cs="Arial"/>
          <w:bCs/>
          <w:iCs/>
        </w:rPr>
        <w:t>(d) Notification.</w:t>
      </w:r>
    </w:p>
    <w:p w14:paraId="20B84DB3" w14:textId="77777777" w:rsidR="00434693" w:rsidRPr="000C758A" w:rsidRDefault="00434693" w:rsidP="00434693">
      <w:pPr>
        <w:pStyle w:val="BodyText"/>
        <w:jc w:val="both"/>
        <w:rPr>
          <w:rFonts w:cs="Arial"/>
          <w:bCs/>
          <w:iCs/>
        </w:rPr>
      </w:pPr>
      <w:r w:rsidRPr="000C758A">
        <w:rPr>
          <w:rFonts w:cs="Arial"/>
          <w:bCs/>
          <w:iCs/>
        </w:rPr>
        <w:lastRenderedPageBreak/>
        <w:t>(1) The Contractor shall inform the Contracting Officer and the agency Inspector General immediately of—</w:t>
      </w:r>
    </w:p>
    <w:p w14:paraId="59898007" w14:textId="77777777" w:rsidR="00434693" w:rsidRPr="000C758A" w:rsidRDefault="00434693" w:rsidP="00434693">
      <w:pPr>
        <w:pStyle w:val="BodyText"/>
        <w:jc w:val="both"/>
        <w:rPr>
          <w:rFonts w:cs="Arial"/>
          <w:bCs/>
          <w:iCs/>
        </w:rPr>
      </w:pPr>
      <w:r w:rsidRPr="000C758A">
        <w:rPr>
          <w:rFonts w:cs="Arial"/>
          <w:bCs/>
          <w:iCs/>
        </w:rPr>
        <w:t>(</w:t>
      </w:r>
      <w:proofErr w:type="spellStart"/>
      <w:r w:rsidRPr="000C758A">
        <w:rPr>
          <w:rFonts w:cs="Arial"/>
          <w:bCs/>
          <w:iCs/>
        </w:rPr>
        <w:t>i</w:t>
      </w:r>
      <w:proofErr w:type="spellEnd"/>
      <w:r w:rsidRPr="000C758A">
        <w:rPr>
          <w:rFonts w:cs="Arial"/>
          <w:bCs/>
          <w:iCs/>
        </w:rPr>
        <w:t xml:space="preserve">) Any credible information it receives from any source (including host country law enforcement) that alleges a Contractor employee, subcontractor, subcontractor employee, or their agent has engaged in conduct that violates the policy in paragraph (b) of this clause (see also </w:t>
      </w:r>
      <w:hyperlink r:id="rId18" w:history="1">
        <w:r w:rsidRPr="000C758A">
          <w:rPr>
            <w:rStyle w:val="Hyperlink"/>
            <w:rFonts w:cs="Arial"/>
            <w:bCs/>
            <w:iCs/>
          </w:rPr>
          <w:t>18 U.S.C. 1351</w:t>
        </w:r>
      </w:hyperlink>
      <w:r w:rsidRPr="000C758A">
        <w:rPr>
          <w:rFonts w:cs="Arial"/>
          <w:bCs/>
          <w:iCs/>
        </w:rPr>
        <w:t xml:space="preserve">, Fraud in Foreign Labor Contracting, and </w:t>
      </w:r>
      <w:hyperlink r:id="rId19" w:anchor="wp1141983" w:history="1">
        <w:r w:rsidRPr="000C758A">
          <w:rPr>
            <w:rStyle w:val="Hyperlink"/>
            <w:rFonts w:cs="Arial"/>
            <w:bCs/>
            <w:iCs/>
          </w:rPr>
          <w:t>52.203-13</w:t>
        </w:r>
      </w:hyperlink>
      <w:r w:rsidRPr="000C758A">
        <w:rPr>
          <w:rFonts w:cs="Arial"/>
          <w:bCs/>
          <w:iCs/>
        </w:rPr>
        <w:t>(b)(3)(</w:t>
      </w:r>
      <w:proofErr w:type="spellStart"/>
      <w:r w:rsidRPr="000C758A">
        <w:rPr>
          <w:rFonts w:cs="Arial"/>
          <w:bCs/>
          <w:iCs/>
        </w:rPr>
        <w:t>i</w:t>
      </w:r>
      <w:proofErr w:type="spellEnd"/>
      <w:r w:rsidRPr="000C758A">
        <w:rPr>
          <w:rFonts w:cs="Arial"/>
          <w:bCs/>
          <w:iCs/>
        </w:rPr>
        <w:t xml:space="preserve">)(A), if that clause is included in the solicitation or contract, which requires disclosure to the agency Office of the Inspector General when the Contractor has credible evidence of fraud); and </w:t>
      </w:r>
    </w:p>
    <w:p w14:paraId="0B0168A2" w14:textId="77777777" w:rsidR="00434693" w:rsidRPr="000C758A" w:rsidRDefault="00434693" w:rsidP="00434693">
      <w:pPr>
        <w:pStyle w:val="BodyText"/>
        <w:jc w:val="both"/>
        <w:rPr>
          <w:rFonts w:cs="Arial"/>
          <w:bCs/>
          <w:iCs/>
        </w:rPr>
      </w:pPr>
      <w:r w:rsidRPr="000C758A">
        <w:rPr>
          <w:rFonts w:cs="Arial"/>
          <w:bCs/>
          <w:iCs/>
        </w:rPr>
        <w:t>(ii) Any actions taken against a Contractor employee, subcontractor, subcontractor employee, or their agent pursuant to this clause.</w:t>
      </w:r>
    </w:p>
    <w:p w14:paraId="5017CB65" w14:textId="77777777" w:rsidR="00434693" w:rsidRPr="000C758A" w:rsidRDefault="00434693" w:rsidP="00434693">
      <w:pPr>
        <w:pStyle w:val="BodyText"/>
        <w:jc w:val="both"/>
        <w:rPr>
          <w:rFonts w:cs="Arial"/>
          <w:bCs/>
          <w:iCs/>
        </w:rPr>
      </w:pPr>
      <w:r w:rsidRPr="000C758A">
        <w:rPr>
          <w:rFonts w:cs="Arial"/>
          <w:bCs/>
          <w:iCs/>
        </w:rPr>
        <w:t>(2) If the allegation may be associated with more than one contract, the Contractor shall inform the contracting officer for the contract with the highest dollar value.</w:t>
      </w:r>
    </w:p>
    <w:p w14:paraId="3BE2B28A" w14:textId="77777777" w:rsidR="00434693" w:rsidRPr="000C758A" w:rsidRDefault="00434693" w:rsidP="00434693">
      <w:pPr>
        <w:pStyle w:val="BodyText"/>
        <w:jc w:val="both"/>
        <w:rPr>
          <w:rFonts w:cs="Arial"/>
          <w:bCs/>
          <w:iCs/>
        </w:rPr>
      </w:pPr>
      <w:r w:rsidRPr="000C758A">
        <w:rPr>
          <w:rFonts w:cs="Arial"/>
          <w:bCs/>
          <w:iCs/>
        </w:rPr>
        <w:t>(e) Remedies. In addition to other remedies available to the Government, the Contractor’s failure to comply with the requirements of paragraphs (c), (d), (g), (h), or (</w:t>
      </w:r>
      <w:proofErr w:type="spellStart"/>
      <w:r w:rsidRPr="000C758A">
        <w:rPr>
          <w:rFonts w:cs="Arial"/>
          <w:bCs/>
          <w:iCs/>
        </w:rPr>
        <w:t>i</w:t>
      </w:r>
      <w:proofErr w:type="spellEnd"/>
      <w:r w:rsidRPr="000C758A">
        <w:rPr>
          <w:rFonts w:cs="Arial"/>
          <w:bCs/>
          <w:iCs/>
        </w:rPr>
        <w:t xml:space="preserve">) of this clause may result in— </w:t>
      </w:r>
    </w:p>
    <w:p w14:paraId="02E8319A" w14:textId="77777777" w:rsidR="00434693" w:rsidRPr="000C758A" w:rsidRDefault="00434693" w:rsidP="00434693">
      <w:pPr>
        <w:pStyle w:val="BodyText"/>
        <w:jc w:val="both"/>
        <w:rPr>
          <w:rFonts w:cs="Arial"/>
          <w:bCs/>
          <w:iCs/>
        </w:rPr>
      </w:pPr>
      <w:r w:rsidRPr="000C758A">
        <w:rPr>
          <w:rFonts w:cs="Arial"/>
          <w:bCs/>
          <w:iCs/>
        </w:rPr>
        <w:t xml:space="preserve">(1) Requiring the Contractor to remove a Contractor employee or employees from the performance of the contract; </w:t>
      </w:r>
    </w:p>
    <w:p w14:paraId="20C38FC7" w14:textId="77777777" w:rsidR="00434693" w:rsidRPr="000C758A" w:rsidRDefault="00434693" w:rsidP="00434693">
      <w:pPr>
        <w:pStyle w:val="BodyText"/>
        <w:jc w:val="both"/>
        <w:rPr>
          <w:rFonts w:cs="Arial"/>
          <w:bCs/>
          <w:iCs/>
        </w:rPr>
      </w:pPr>
      <w:r w:rsidRPr="000C758A">
        <w:rPr>
          <w:rFonts w:cs="Arial"/>
          <w:bCs/>
          <w:iCs/>
        </w:rPr>
        <w:t xml:space="preserve">(2) Requiring the Contractor to terminate a subcontract; </w:t>
      </w:r>
    </w:p>
    <w:p w14:paraId="096F8CEE" w14:textId="77777777" w:rsidR="00434693" w:rsidRPr="000C758A" w:rsidRDefault="00434693" w:rsidP="00434693">
      <w:pPr>
        <w:pStyle w:val="BodyText"/>
        <w:jc w:val="both"/>
        <w:rPr>
          <w:rFonts w:cs="Arial"/>
          <w:bCs/>
          <w:iCs/>
        </w:rPr>
      </w:pPr>
      <w:r w:rsidRPr="000C758A">
        <w:rPr>
          <w:rFonts w:cs="Arial"/>
          <w:bCs/>
          <w:iCs/>
        </w:rPr>
        <w:t xml:space="preserve">(3) Suspension of contract payments until the Contractor has taken appropriate remedial action; </w:t>
      </w:r>
    </w:p>
    <w:p w14:paraId="177E4375" w14:textId="77777777" w:rsidR="00434693" w:rsidRPr="000C758A" w:rsidRDefault="00434693" w:rsidP="00434693">
      <w:pPr>
        <w:pStyle w:val="BodyText"/>
        <w:jc w:val="both"/>
        <w:rPr>
          <w:rFonts w:cs="Arial"/>
          <w:bCs/>
          <w:iCs/>
        </w:rPr>
      </w:pPr>
      <w:r w:rsidRPr="000C758A">
        <w:rPr>
          <w:rFonts w:cs="Arial"/>
          <w:bCs/>
          <w:iCs/>
        </w:rPr>
        <w:t xml:space="preserve">(4) Loss of award fee, consistent with the award fee plan, for the performance period in which the Government determined Contractor non-compliance; </w:t>
      </w:r>
    </w:p>
    <w:p w14:paraId="61EE8D6F" w14:textId="77777777" w:rsidR="00434693" w:rsidRPr="000C758A" w:rsidRDefault="00434693" w:rsidP="00434693">
      <w:pPr>
        <w:pStyle w:val="BodyText"/>
        <w:jc w:val="both"/>
        <w:rPr>
          <w:rFonts w:cs="Arial"/>
          <w:bCs/>
          <w:iCs/>
        </w:rPr>
      </w:pPr>
      <w:r w:rsidRPr="000C758A">
        <w:rPr>
          <w:rFonts w:cs="Arial"/>
          <w:bCs/>
          <w:iCs/>
        </w:rPr>
        <w:t xml:space="preserve">(5) Declining to exercise available options under the contract; </w:t>
      </w:r>
    </w:p>
    <w:p w14:paraId="17B4C26E" w14:textId="77777777" w:rsidR="00434693" w:rsidRPr="000C758A" w:rsidRDefault="00434693" w:rsidP="00434693">
      <w:pPr>
        <w:pStyle w:val="BodyText"/>
        <w:jc w:val="both"/>
        <w:rPr>
          <w:rFonts w:cs="Arial"/>
          <w:bCs/>
          <w:iCs/>
        </w:rPr>
      </w:pPr>
      <w:r w:rsidRPr="000C758A">
        <w:rPr>
          <w:rFonts w:cs="Arial"/>
          <w:bCs/>
          <w:iCs/>
        </w:rPr>
        <w:t xml:space="preserve">(6) Termination of the contract for default or cause, in accordance with the termination clause of this contract; or </w:t>
      </w:r>
    </w:p>
    <w:p w14:paraId="0C93A70B" w14:textId="77777777" w:rsidR="00434693" w:rsidRPr="000C758A" w:rsidRDefault="00434693" w:rsidP="00434693">
      <w:pPr>
        <w:pStyle w:val="BodyText"/>
        <w:jc w:val="both"/>
        <w:rPr>
          <w:rFonts w:cs="Arial"/>
          <w:bCs/>
          <w:iCs/>
        </w:rPr>
      </w:pPr>
      <w:r w:rsidRPr="000C758A">
        <w:rPr>
          <w:rFonts w:cs="Arial"/>
          <w:bCs/>
          <w:iCs/>
        </w:rPr>
        <w:t>(7) Suspension or debarment.</w:t>
      </w:r>
    </w:p>
    <w:p w14:paraId="177C0380" w14:textId="77777777" w:rsidR="00434693" w:rsidRPr="000C758A" w:rsidRDefault="00434693" w:rsidP="00434693">
      <w:pPr>
        <w:pStyle w:val="BodyText"/>
        <w:jc w:val="both"/>
        <w:rPr>
          <w:rFonts w:cs="Arial"/>
          <w:bCs/>
          <w:iCs/>
        </w:rPr>
      </w:pPr>
      <w:r w:rsidRPr="000C758A">
        <w:rPr>
          <w:rFonts w:cs="Arial"/>
          <w:bCs/>
          <w:iCs/>
        </w:rPr>
        <w:t xml:space="preserve">(f) Mitigating and aggravating factors. When determining remedies, the Contracting Officer may consider the following: </w:t>
      </w:r>
    </w:p>
    <w:p w14:paraId="0B9F0950" w14:textId="77777777" w:rsidR="00434693" w:rsidRPr="000C758A" w:rsidRDefault="00434693" w:rsidP="00434693">
      <w:pPr>
        <w:pStyle w:val="BodyText"/>
        <w:jc w:val="both"/>
        <w:rPr>
          <w:rFonts w:cs="Arial"/>
          <w:bCs/>
          <w:iCs/>
        </w:rPr>
      </w:pPr>
      <w:r w:rsidRPr="000C758A">
        <w:rPr>
          <w:rFonts w:cs="Arial"/>
          <w:bCs/>
          <w:iCs/>
        </w:rPr>
        <w:t xml:space="preserve">(1) Mitigating factors. The Contractor had a Trafficking in Persons compliance plan or an awareness program at the time of the violation, was in compliance with the plan, and has taken appropriate remedial actions for the violation, that may include reparation to victims for such violations. </w:t>
      </w:r>
    </w:p>
    <w:p w14:paraId="6F35044C" w14:textId="77777777" w:rsidR="00434693" w:rsidRPr="000C758A" w:rsidRDefault="00434693" w:rsidP="00434693">
      <w:pPr>
        <w:pStyle w:val="BodyText"/>
        <w:jc w:val="both"/>
        <w:rPr>
          <w:rFonts w:cs="Arial"/>
          <w:bCs/>
          <w:iCs/>
        </w:rPr>
      </w:pPr>
      <w:r w:rsidRPr="000C758A">
        <w:rPr>
          <w:rFonts w:cs="Arial"/>
          <w:bCs/>
          <w:iCs/>
        </w:rPr>
        <w:t xml:space="preserve">(2) Aggravating factors. The Contractor failed to abate an alleged violation or enforce the requirements of a compliance plan, when directed by the Contracting Officer to do so. </w:t>
      </w:r>
    </w:p>
    <w:p w14:paraId="5FF2C753" w14:textId="77777777" w:rsidR="00434693" w:rsidRPr="000C758A" w:rsidRDefault="00434693" w:rsidP="00434693">
      <w:pPr>
        <w:pStyle w:val="BodyText"/>
        <w:jc w:val="both"/>
        <w:rPr>
          <w:rFonts w:cs="Arial"/>
          <w:bCs/>
          <w:iCs/>
        </w:rPr>
      </w:pPr>
      <w:r w:rsidRPr="000C758A">
        <w:rPr>
          <w:rFonts w:cs="Arial"/>
          <w:bCs/>
          <w:iCs/>
        </w:rPr>
        <w:t xml:space="preserve">(g) Full cooperation. </w:t>
      </w:r>
    </w:p>
    <w:p w14:paraId="7FD5B4C2" w14:textId="77777777" w:rsidR="00434693" w:rsidRPr="000C758A" w:rsidRDefault="00434693" w:rsidP="00434693">
      <w:pPr>
        <w:pStyle w:val="BodyText"/>
        <w:jc w:val="both"/>
        <w:rPr>
          <w:rFonts w:cs="Arial"/>
          <w:bCs/>
          <w:iCs/>
        </w:rPr>
      </w:pPr>
      <w:r w:rsidRPr="000C758A">
        <w:rPr>
          <w:rFonts w:cs="Arial"/>
          <w:bCs/>
          <w:iCs/>
        </w:rPr>
        <w:t>(1) The Contractor shall, at a minimum—</w:t>
      </w:r>
    </w:p>
    <w:p w14:paraId="44846F1C" w14:textId="77777777" w:rsidR="00434693" w:rsidRPr="000C758A" w:rsidRDefault="00434693" w:rsidP="00434693">
      <w:pPr>
        <w:pStyle w:val="BodyText"/>
        <w:jc w:val="both"/>
        <w:rPr>
          <w:rFonts w:cs="Arial"/>
          <w:bCs/>
          <w:iCs/>
        </w:rPr>
      </w:pPr>
      <w:r w:rsidRPr="000C758A">
        <w:rPr>
          <w:rFonts w:cs="Arial"/>
          <w:bCs/>
          <w:iCs/>
        </w:rPr>
        <w:t>(</w:t>
      </w:r>
      <w:proofErr w:type="spellStart"/>
      <w:r w:rsidRPr="000C758A">
        <w:rPr>
          <w:rFonts w:cs="Arial"/>
          <w:bCs/>
          <w:iCs/>
        </w:rPr>
        <w:t>i</w:t>
      </w:r>
      <w:proofErr w:type="spellEnd"/>
      <w:r w:rsidRPr="000C758A">
        <w:rPr>
          <w:rFonts w:cs="Arial"/>
          <w:bCs/>
          <w:iCs/>
        </w:rPr>
        <w:t>) Disclose to the agency Inspector General information sufficient to identify the nature and extent of an offense and the individuals responsible for the conduct;</w:t>
      </w:r>
    </w:p>
    <w:p w14:paraId="27A77019" w14:textId="77777777" w:rsidR="00434693" w:rsidRPr="000C758A" w:rsidRDefault="00434693" w:rsidP="00434693">
      <w:pPr>
        <w:pStyle w:val="BodyText"/>
        <w:jc w:val="both"/>
        <w:rPr>
          <w:rFonts w:cs="Arial"/>
          <w:bCs/>
          <w:iCs/>
        </w:rPr>
      </w:pPr>
      <w:r w:rsidRPr="000C758A">
        <w:rPr>
          <w:rFonts w:cs="Arial"/>
          <w:bCs/>
          <w:iCs/>
        </w:rPr>
        <w:t>(ii) Provide timely and complete responses to Government auditors' and investigators' requests for documents;</w:t>
      </w:r>
    </w:p>
    <w:p w14:paraId="5D842A46" w14:textId="77777777" w:rsidR="00434693" w:rsidRPr="000C758A" w:rsidRDefault="00434693" w:rsidP="00434693">
      <w:pPr>
        <w:pStyle w:val="BodyText"/>
        <w:jc w:val="both"/>
        <w:rPr>
          <w:rFonts w:cs="Arial"/>
          <w:bCs/>
          <w:iCs/>
        </w:rPr>
      </w:pPr>
      <w:r w:rsidRPr="000C758A">
        <w:rPr>
          <w:rFonts w:cs="Arial"/>
          <w:bCs/>
          <w:iCs/>
        </w:rPr>
        <w:t xml:space="preserve">(iii) Cooperate fully in providing reasonable access to its facilities and staff (both inside and outside the U.S.) to allow contracting agencies and other responsible Federal agencies to conduct audits, investigations, or other actions to </w:t>
      </w:r>
      <w:r w:rsidRPr="000C758A">
        <w:rPr>
          <w:rFonts w:cs="Arial"/>
          <w:bCs/>
          <w:iCs/>
        </w:rPr>
        <w:lastRenderedPageBreak/>
        <w:t>ascertain compliance with the Trafficking Victims Protection Act of 2000 (</w:t>
      </w:r>
      <w:hyperlink r:id="rId20" w:history="1">
        <w:r w:rsidRPr="000C758A">
          <w:rPr>
            <w:rStyle w:val="Hyperlink"/>
            <w:rFonts w:cs="Arial"/>
            <w:bCs/>
            <w:iCs/>
          </w:rPr>
          <w:t>22 U.S.C. chapter 78</w:t>
        </w:r>
      </w:hyperlink>
      <w:r w:rsidRPr="000C758A">
        <w:rPr>
          <w:rFonts w:cs="Arial"/>
          <w:bCs/>
          <w:iCs/>
        </w:rPr>
        <w:t xml:space="preserve">), E.O. 13627, or any other applicable law or regulation establishing restrictions on trafficking in persons, the procurement of commercial sex acts, or the use of forced labor; and </w:t>
      </w:r>
    </w:p>
    <w:p w14:paraId="3256AC4D" w14:textId="77777777" w:rsidR="00434693" w:rsidRPr="000C758A" w:rsidRDefault="00434693" w:rsidP="00434693">
      <w:pPr>
        <w:pStyle w:val="BodyText"/>
        <w:jc w:val="both"/>
        <w:rPr>
          <w:rFonts w:cs="Arial"/>
          <w:bCs/>
          <w:iCs/>
        </w:rPr>
      </w:pPr>
      <w:r w:rsidRPr="000C758A">
        <w:rPr>
          <w:rFonts w:cs="Arial"/>
          <w:bCs/>
          <w:iCs/>
        </w:rPr>
        <w:t>(iv) Protect all employees suspected of being victims of or witnesses to prohibited activities, prior to returning to the country from which the employee was recruited, and shall not prevent or hinder the ability of these employees from cooperating fully with Government authorities.</w:t>
      </w:r>
    </w:p>
    <w:p w14:paraId="421CDCE4" w14:textId="77777777" w:rsidR="00434693" w:rsidRPr="000C758A" w:rsidRDefault="00434693" w:rsidP="00434693">
      <w:pPr>
        <w:pStyle w:val="BodyText"/>
        <w:jc w:val="both"/>
        <w:rPr>
          <w:rFonts w:cs="Arial"/>
          <w:bCs/>
          <w:iCs/>
        </w:rPr>
      </w:pPr>
      <w:r w:rsidRPr="000C758A">
        <w:rPr>
          <w:rFonts w:cs="Arial"/>
          <w:bCs/>
          <w:iCs/>
        </w:rPr>
        <w:t>(2) The requirement for full cooperation does not foreclose any Contractor rights arising in law, the FAR, or the terms of the contract. It does not—</w:t>
      </w:r>
    </w:p>
    <w:p w14:paraId="6852E547" w14:textId="77777777" w:rsidR="00434693" w:rsidRPr="000C758A" w:rsidRDefault="00434693" w:rsidP="00434693">
      <w:pPr>
        <w:pStyle w:val="BodyText"/>
        <w:jc w:val="both"/>
        <w:rPr>
          <w:rFonts w:cs="Arial"/>
          <w:bCs/>
          <w:iCs/>
        </w:rPr>
      </w:pPr>
      <w:r w:rsidRPr="000C758A">
        <w:rPr>
          <w:rFonts w:cs="Arial"/>
          <w:bCs/>
          <w:iCs/>
        </w:rPr>
        <w:t>(</w:t>
      </w:r>
      <w:proofErr w:type="spellStart"/>
      <w:r w:rsidRPr="000C758A">
        <w:rPr>
          <w:rFonts w:cs="Arial"/>
          <w:bCs/>
          <w:iCs/>
        </w:rPr>
        <w:t>i</w:t>
      </w:r>
      <w:proofErr w:type="spellEnd"/>
      <w:r w:rsidRPr="000C758A">
        <w:rPr>
          <w:rFonts w:cs="Arial"/>
          <w:bCs/>
          <w:iCs/>
        </w:rPr>
        <w:t>) Require the Contractor to waive its attorney-client privilege or the protections afforded by the attorney work product doctrine;</w:t>
      </w:r>
    </w:p>
    <w:p w14:paraId="4F32B573" w14:textId="77777777" w:rsidR="00434693" w:rsidRPr="000C758A" w:rsidRDefault="00434693" w:rsidP="00434693">
      <w:pPr>
        <w:pStyle w:val="BodyText"/>
        <w:jc w:val="both"/>
        <w:rPr>
          <w:rFonts w:cs="Arial"/>
          <w:bCs/>
          <w:iCs/>
        </w:rPr>
      </w:pPr>
      <w:r w:rsidRPr="000C758A">
        <w:rPr>
          <w:rFonts w:cs="Arial"/>
          <w:bCs/>
          <w:iCs/>
        </w:rPr>
        <w:t>(ii) Require any officer, director, owner, employee, or agent of the Contractor, including a sole proprietor, to waive his or her attorney client privilege or Fifth Amendment rights; or</w:t>
      </w:r>
    </w:p>
    <w:p w14:paraId="6767E2C1" w14:textId="77777777" w:rsidR="00434693" w:rsidRPr="000C758A" w:rsidRDefault="00434693" w:rsidP="00434693">
      <w:pPr>
        <w:pStyle w:val="BodyText"/>
        <w:jc w:val="both"/>
        <w:rPr>
          <w:rFonts w:cs="Arial"/>
          <w:bCs/>
          <w:iCs/>
        </w:rPr>
      </w:pPr>
      <w:r w:rsidRPr="000C758A">
        <w:rPr>
          <w:rFonts w:cs="Arial"/>
          <w:bCs/>
          <w:iCs/>
        </w:rPr>
        <w:t>(iii) Restrict the Contractor from—</w:t>
      </w:r>
    </w:p>
    <w:p w14:paraId="1772E81F" w14:textId="77777777" w:rsidR="00434693" w:rsidRPr="000C758A" w:rsidRDefault="00434693" w:rsidP="00434693">
      <w:pPr>
        <w:pStyle w:val="BodyText"/>
        <w:jc w:val="both"/>
        <w:rPr>
          <w:rFonts w:cs="Arial"/>
          <w:bCs/>
          <w:iCs/>
        </w:rPr>
      </w:pPr>
      <w:r w:rsidRPr="000C758A">
        <w:rPr>
          <w:rFonts w:cs="Arial"/>
          <w:bCs/>
          <w:iCs/>
        </w:rPr>
        <w:t>(A) Conducting an internal investigation; or</w:t>
      </w:r>
    </w:p>
    <w:p w14:paraId="2E3FB738" w14:textId="77777777" w:rsidR="00434693" w:rsidRPr="000C758A" w:rsidRDefault="00434693" w:rsidP="00434693">
      <w:pPr>
        <w:pStyle w:val="BodyText"/>
        <w:jc w:val="both"/>
        <w:rPr>
          <w:rFonts w:cs="Arial"/>
          <w:bCs/>
          <w:iCs/>
        </w:rPr>
      </w:pPr>
      <w:r w:rsidRPr="000C758A">
        <w:rPr>
          <w:rFonts w:cs="Arial"/>
          <w:bCs/>
          <w:iCs/>
        </w:rPr>
        <w:t>(B) Defending a proceeding or dispute arising under the contract or related to a potential or disclosed violation.</w:t>
      </w:r>
    </w:p>
    <w:p w14:paraId="5D649D88" w14:textId="77777777" w:rsidR="00434693" w:rsidRPr="000C758A" w:rsidRDefault="00434693" w:rsidP="00434693">
      <w:pPr>
        <w:pStyle w:val="BodyText"/>
        <w:jc w:val="both"/>
        <w:rPr>
          <w:rFonts w:cs="Arial"/>
          <w:bCs/>
          <w:iCs/>
        </w:rPr>
      </w:pPr>
      <w:r w:rsidRPr="000C758A">
        <w:rPr>
          <w:rFonts w:cs="Arial"/>
          <w:bCs/>
          <w:iCs/>
        </w:rPr>
        <w:t xml:space="preserve">(h) Compliance plan. </w:t>
      </w:r>
    </w:p>
    <w:p w14:paraId="77FC6177" w14:textId="77777777" w:rsidR="00434693" w:rsidRPr="000C758A" w:rsidRDefault="00434693" w:rsidP="00434693">
      <w:pPr>
        <w:pStyle w:val="BodyText"/>
        <w:jc w:val="both"/>
        <w:rPr>
          <w:rFonts w:cs="Arial"/>
          <w:bCs/>
          <w:iCs/>
        </w:rPr>
      </w:pPr>
      <w:r w:rsidRPr="000C758A">
        <w:rPr>
          <w:rFonts w:cs="Arial"/>
          <w:bCs/>
          <w:iCs/>
        </w:rPr>
        <w:t>(1) This paragraph (h) applies to any portion of the contract that—</w:t>
      </w:r>
    </w:p>
    <w:p w14:paraId="28340420" w14:textId="77777777" w:rsidR="00434693" w:rsidRPr="000C758A" w:rsidRDefault="00434693" w:rsidP="00434693">
      <w:pPr>
        <w:pStyle w:val="BodyText"/>
        <w:jc w:val="both"/>
        <w:rPr>
          <w:rFonts w:cs="Arial"/>
          <w:bCs/>
          <w:iCs/>
        </w:rPr>
      </w:pPr>
      <w:r w:rsidRPr="000C758A">
        <w:rPr>
          <w:rFonts w:cs="Arial"/>
          <w:bCs/>
          <w:iCs/>
        </w:rPr>
        <w:t>(</w:t>
      </w:r>
      <w:proofErr w:type="spellStart"/>
      <w:r w:rsidRPr="000C758A">
        <w:rPr>
          <w:rFonts w:cs="Arial"/>
          <w:bCs/>
          <w:iCs/>
        </w:rPr>
        <w:t>i</w:t>
      </w:r>
      <w:proofErr w:type="spellEnd"/>
      <w:r w:rsidRPr="000C758A">
        <w:rPr>
          <w:rFonts w:cs="Arial"/>
          <w:bCs/>
          <w:iCs/>
        </w:rPr>
        <w:t>) Is for supplies, other than commercially available off-the-shelf items, acquired outside the United States, or services to be performed outside the United States; and</w:t>
      </w:r>
    </w:p>
    <w:p w14:paraId="6E8EF6B2" w14:textId="77777777" w:rsidR="00434693" w:rsidRPr="000C758A" w:rsidRDefault="00434693" w:rsidP="00434693">
      <w:pPr>
        <w:pStyle w:val="BodyText"/>
        <w:jc w:val="both"/>
        <w:rPr>
          <w:rFonts w:cs="Arial"/>
          <w:bCs/>
          <w:iCs/>
        </w:rPr>
      </w:pPr>
      <w:r w:rsidRPr="000C758A">
        <w:rPr>
          <w:rFonts w:cs="Arial"/>
          <w:bCs/>
          <w:iCs/>
        </w:rPr>
        <w:t>(ii) Has an estimated value that exceeds $500,000.</w:t>
      </w:r>
    </w:p>
    <w:p w14:paraId="7D9AF7E8" w14:textId="77777777" w:rsidR="00434693" w:rsidRPr="000C758A" w:rsidRDefault="00434693" w:rsidP="00434693">
      <w:pPr>
        <w:pStyle w:val="BodyText"/>
        <w:jc w:val="both"/>
        <w:rPr>
          <w:rFonts w:cs="Arial"/>
          <w:bCs/>
          <w:iCs/>
        </w:rPr>
      </w:pPr>
      <w:r w:rsidRPr="000C758A">
        <w:rPr>
          <w:rFonts w:cs="Arial"/>
          <w:bCs/>
          <w:iCs/>
        </w:rPr>
        <w:t>(2) The Contractor shall maintain a compliance plan during the performance of the contract that is appropriate—</w:t>
      </w:r>
    </w:p>
    <w:p w14:paraId="3D257931" w14:textId="77777777" w:rsidR="00434693" w:rsidRPr="000C758A" w:rsidRDefault="00434693" w:rsidP="00434693">
      <w:pPr>
        <w:pStyle w:val="BodyText"/>
        <w:jc w:val="both"/>
        <w:rPr>
          <w:rFonts w:cs="Arial"/>
          <w:bCs/>
          <w:iCs/>
        </w:rPr>
      </w:pPr>
      <w:r w:rsidRPr="000C758A">
        <w:rPr>
          <w:rFonts w:cs="Arial"/>
          <w:bCs/>
          <w:iCs/>
        </w:rPr>
        <w:t>(</w:t>
      </w:r>
      <w:proofErr w:type="spellStart"/>
      <w:r w:rsidRPr="000C758A">
        <w:rPr>
          <w:rFonts w:cs="Arial"/>
          <w:bCs/>
          <w:iCs/>
        </w:rPr>
        <w:t>i</w:t>
      </w:r>
      <w:proofErr w:type="spellEnd"/>
      <w:r w:rsidRPr="000C758A">
        <w:rPr>
          <w:rFonts w:cs="Arial"/>
          <w:bCs/>
          <w:iCs/>
        </w:rPr>
        <w:t xml:space="preserve">) To the size and complexity of the contract; and </w:t>
      </w:r>
    </w:p>
    <w:p w14:paraId="61A714A8" w14:textId="77777777" w:rsidR="00434693" w:rsidRPr="000C758A" w:rsidRDefault="00434693" w:rsidP="00434693">
      <w:pPr>
        <w:pStyle w:val="BodyText"/>
        <w:jc w:val="both"/>
        <w:rPr>
          <w:rFonts w:cs="Arial"/>
          <w:bCs/>
          <w:iCs/>
        </w:rPr>
      </w:pPr>
      <w:r w:rsidRPr="000C758A">
        <w:rPr>
          <w:rFonts w:cs="Arial"/>
          <w:bCs/>
          <w:iCs/>
        </w:rPr>
        <w:t>(ii) To the nature and scope of the activities to be performed for the Government, including the number of non-United States citizens expected to be employed and the risk that the contract or subcontract will involve services or supplies susceptible to trafficking in persons.</w:t>
      </w:r>
    </w:p>
    <w:p w14:paraId="61D05249" w14:textId="77777777" w:rsidR="00434693" w:rsidRPr="000C758A" w:rsidRDefault="00434693" w:rsidP="00434693">
      <w:pPr>
        <w:pStyle w:val="BodyText"/>
        <w:jc w:val="both"/>
        <w:rPr>
          <w:rFonts w:cs="Arial"/>
          <w:bCs/>
          <w:iCs/>
        </w:rPr>
      </w:pPr>
      <w:r w:rsidRPr="000C758A">
        <w:rPr>
          <w:rFonts w:cs="Arial"/>
          <w:bCs/>
          <w:iCs/>
        </w:rPr>
        <w:t xml:space="preserve">(3) Minimum requirements. The compliance plan must include, at a minimum, the following: </w:t>
      </w:r>
    </w:p>
    <w:p w14:paraId="0FF1B1E2" w14:textId="77777777" w:rsidR="00434693" w:rsidRPr="000C758A" w:rsidRDefault="00434693" w:rsidP="00434693">
      <w:pPr>
        <w:pStyle w:val="BodyText"/>
        <w:jc w:val="both"/>
        <w:rPr>
          <w:rFonts w:cs="Arial"/>
          <w:bCs/>
          <w:iCs/>
        </w:rPr>
      </w:pPr>
      <w:r w:rsidRPr="000C758A">
        <w:rPr>
          <w:rFonts w:cs="Arial"/>
          <w:bCs/>
          <w:iCs/>
        </w:rPr>
        <w:t>(</w:t>
      </w:r>
      <w:proofErr w:type="spellStart"/>
      <w:r w:rsidRPr="000C758A">
        <w:rPr>
          <w:rFonts w:cs="Arial"/>
          <w:bCs/>
          <w:iCs/>
        </w:rPr>
        <w:t>i</w:t>
      </w:r>
      <w:proofErr w:type="spellEnd"/>
      <w:r w:rsidRPr="000C758A">
        <w:rPr>
          <w:rFonts w:cs="Arial"/>
          <w:bCs/>
          <w:iCs/>
        </w:rPr>
        <w:t xml:space="preserve">) An awareness program to inform contractor employees about the Government’s policy prohibiting trafficking-related activities described in paragraph (b) of this clause, the activities prohibited, and the actions that will be taken against the employee for violations. Additional information about Trafficking in Persons and examples of awareness programs can be found at the website for the Department of State’s Office to Monitor and Combat Trafficking in Persons at </w:t>
      </w:r>
      <w:hyperlink r:id="rId21" w:history="1">
        <w:r w:rsidRPr="000C758A">
          <w:rPr>
            <w:rStyle w:val="Hyperlink"/>
            <w:rFonts w:cs="Arial"/>
            <w:bCs/>
            <w:iCs/>
          </w:rPr>
          <w:t>http://www.state.gov/j/tip/</w:t>
        </w:r>
      </w:hyperlink>
      <w:hyperlink r:id="rId22" w:history="1">
        <w:r w:rsidRPr="000C758A">
          <w:rPr>
            <w:rStyle w:val="Hyperlink"/>
            <w:rFonts w:cs="Arial"/>
            <w:bCs/>
            <w:iCs/>
          </w:rPr>
          <w:t>http://www.state.gov/j/tip/</w:t>
        </w:r>
      </w:hyperlink>
      <w:r w:rsidRPr="000C758A">
        <w:rPr>
          <w:rFonts w:cs="Arial"/>
          <w:bCs/>
          <w:iCs/>
        </w:rPr>
        <w:t xml:space="preserve">. </w:t>
      </w:r>
    </w:p>
    <w:p w14:paraId="4641EC24" w14:textId="77777777" w:rsidR="00434693" w:rsidRPr="000C758A" w:rsidRDefault="00434693" w:rsidP="00434693">
      <w:pPr>
        <w:pStyle w:val="BodyText"/>
        <w:jc w:val="both"/>
        <w:rPr>
          <w:rFonts w:cs="Arial"/>
          <w:bCs/>
          <w:iCs/>
        </w:rPr>
      </w:pPr>
      <w:r w:rsidRPr="000C758A">
        <w:rPr>
          <w:rFonts w:cs="Arial"/>
          <w:bCs/>
          <w:iCs/>
        </w:rPr>
        <w:t>(ii) A process for employees to report, without fear of retaliation, activity inconsistent with the policy prohibiting trafficking in persons, including a means to make available to all employees the hotline phone number of the Global Human Trafficking Hotline at 1-844-888-FREE and its email address at help@befree.org.</w:t>
      </w:r>
    </w:p>
    <w:p w14:paraId="6A0CEE07" w14:textId="77777777" w:rsidR="00434693" w:rsidRPr="000C758A" w:rsidRDefault="00434693" w:rsidP="00434693">
      <w:pPr>
        <w:pStyle w:val="BodyText"/>
        <w:jc w:val="both"/>
        <w:rPr>
          <w:rFonts w:cs="Arial"/>
          <w:bCs/>
          <w:iCs/>
        </w:rPr>
      </w:pPr>
      <w:r w:rsidRPr="000C758A">
        <w:rPr>
          <w:rFonts w:cs="Arial"/>
          <w:bCs/>
          <w:iCs/>
        </w:rPr>
        <w:lastRenderedPageBreak/>
        <w:t>(iii) A recruitment and wage plan that only permits the use of recruitment companies with trained employees, prohibits charging recruitment fees to the employee, and ensures that wages meet applicable host-country legal requirements or explains any variance.</w:t>
      </w:r>
    </w:p>
    <w:p w14:paraId="0D14714A" w14:textId="77777777" w:rsidR="00434693" w:rsidRPr="000C758A" w:rsidRDefault="00434693" w:rsidP="00434693">
      <w:pPr>
        <w:pStyle w:val="BodyText"/>
        <w:jc w:val="both"/>
        <w:rPr>
          <w:rFonts w:cs="Arial"/>
          <w:bCs/>
          <w:iCs/>
        </w:rPr>
      </w:pPr>
      <w:r w:rsidRPr="000C758A">
        <w:rPr>
          <w:rFonts w:cs="Arial"/>
          <w:bCs/>
          <w:iCs/>
        </w:rPr>
        <w:t>(iv) A housing plan, if the Contractor or subcontractor intends to provide or arrange housing that ensures that the housing meets host-country housing and safety standards.</w:t>
      </w:r>
    </w:p>
    <w:p w14:paraId="644AE931" w14:textId="77777777" w:rsidR="00434693" w:rsidRPr="000C758A" w:rsidRDefault="00434693" w:rsidP="00434693">
      <w:pPr>
        <w:pStyle w:val="BodyText"/>
        <w:jc w:val="both"/>
        <w:rPr>
          <w:rFonts w:cs="Arial"/>
          <w:bCs/>
          <w:iCs/>
        </w:rPr>
      </w:pPr>
      <w:r w:rsidRPr="000C758A">
        <w:rPr>
          <w:rFonts w:cs="Arial"/>
          <w:bCs/>
          <w:iCs/>
        </w:rPr>
        <w:t>(v) Procedures to prevent agents and subcontractors at any tier and at any dollar value from engaging in trafficking in persons (including activities in paragraph (b) of this clause) and to monitor, detect, and terminate any agents, subcontracts, or subcontractor employees that have engaged in such activities.</w:t>
      </w:r>
    </w:p>
    <w:p w14:paraId="28E0D751" w14:textId="77777777" w:rsidR="00434693" w:rsidRPr="000C758A" w:rsidRDefault="00434693" w:rsidP="00434693">
      <w:pPr>
        <w:pStyle w:val="BodyText"/>
        <w:jc w:val="both"/>
        <w:rPr>
          <w:rFonts w:cs="Arial"/>
          <w:bCs/>
          <w:iCs/>
        </w:rPr>
      </w:pPr>
      <w:r w:rsidRPr="000C758A">
        <w:rPr>
          <w:rFonts w:cs="Arial"/>
          <w:bCs/>
          <w:iCs/>
        </w:rPr>
        <w:t xml:space="preserve">(4) Posting. </w:t>
      </w:r>
    </w:p>
    <w:p w14:paraId="54B10216" w14:textId="77777777" w:rsidR="00434693" w:rsidRPr="000C758A" w:rsidRDefault="00434693" w:rsidP="00434693">
      <w:pPr>
        <w:pStyle w:val="BodyText"/>
        <w:jc w:val="both"/>
        <w:rPr>
          <w:rFonts w:cs="Arial"/>
          <w:bCs/>
          <w:iCs/>
        </w:rPr>
      </w:pPr>
      <w:r w:rsidRPr="000C758A">
        <w:rPr>
          <w:rFonts w:cs="Arial"/>
          <w:bCs/>
          <w:iCs/>
        </w:rPr>
        <w:t>(</w:t>
      </w:r>
      <w:proofErr w:type="spellStart"/>
      <w:r w:rsidRPr="000C758A">
        <w:rPr>
          <w:rFonts w:cs="Arial"/>
          <w:bCs/>
          <w:iCs/>
        </w:rPr>
        <w:t>i</w:t>
      </w:r>
      <w:proofErr w:type="spellEnd"/>
      <w:r w:rsidRPr="000C758A">
        <w:rPr>
          <w:rFonts w:cs="Arial"/>
          <w:bCs/>
          <w:iCs/>
        </w:rPr>
        <w:t>) The Contractor shall post the relevant contents of the compliance plan, no later than the initiation of contract performance, at the workplace (unless the work is to be performed in the field or not in a fixed location) and on the Contractor's Web site (if one is maintained). If posting at the workplace or on the Web site is impracticable, the Contractor shall provide the relevant contents of the compliance plan to each worker in writing.</w:t>
      </w:r>
    </w:p>
    <w:p w14:paraId="25A9E0A8" w14:textId="77777777" w:rsidR="00434693" w:rsidRPr="000C758A" w:rsidRDefault="00434693" w:rsidP="00434693">
      <w:pPr>
        <w:pStyle w:val="BodyText"/>
        <w:jc w:val="both"/>
        <w:rPr>
          <w:rFonts w:cs="Arial"/>
          <w:bCs/>
          <w:iCs/>
        </w:rPr>
      </w:pPr>
      <w:r w:rsidRPr="000C758A">
        <w:rPr>
          <w:rFonts w:cs="Arial"/>
          <w:bCs/>
          <w:iCs/>
        </w:rPr>
        <w:t>(ii) The Contractor shall provide the compliance plan to the Contracting Officer upon request.</w:t>
      </w:r>
    </w:p>
    <w:p w14:paraId="011C5EA2" w14:textId="77777777" w:rsidR="00434693" w:rsidRPr="000C758A" w:rsidRDefault="00434693" w:rsidP="00434693">
      <w:pPr>
        <w:pStyle w:val="BodyText"/>
        <w:jc w:val="both"/>
        <w:rPr>
          <w:rFonts w:cs="Arial"/>
          <w:bCs/>
          <w:iCs/>
        </w:rPr>
      </w:pPr>
      <w:r w:rsidRPr="000C758A">
        <w:rPr>
          <w:rFonts w:cs="Arial"/>
          <w:bCs/>
          <w:iCs/>
        </w:rPr>
        <w:t xml:space="preserve">(5) Certification. Annually after receiving an award, the Contractor shall submit a certification to the Contracting Officer that— </w:t>
      </w:r>
    </w:p>
    <w:p w14:paraId="386718E9" w14:textId="77777777" w:rsidR="00434693" w:rsidRPr="000C758A" w:rsidRDefault="00434693" w:rsidP="00434693">
      <w:pPr>
        <w:pStyle w:val="BodyText"/>
        <w:jc w:val="both"/>
        <w:rPr>
          <w:rFonts w:cs="Arial"/>
          <w:bCs/>
          <w:iCs/>
        </w:rPr>
      </w:pPr>
      <w:r w:rsidRPr="000C758A">
        <w:rPr>
          <w:rFonts w:cs="Arial"/>
          <w:bCs/>
          <w:iCs/>
        </w:rPr>
        <w:t>(</w:t>
      </w:r>
      <w:proofErr w:type="spellStart"/>
      <w:r w:rsidRPr="000C758A">
        <w:rPr>
          <w:rFonts w:cs="Arial"/>
          <w:bCs/>
          <w:iCs/>
        </w:rPr>
        <w:t>i</w:t>
      </w:r>
      <w:proofErr w:type="spellEnd"/>
      <w:r w:rsidRPr="000C758A">
        <w:rPr>
          <w:rFonts w:cs="Arial"/>
          <w:bCs/>
          <w:iCs/>
        </w:rPr>
        <w:t>) It has implemented a compliance plan to prevent any prohibited activities identified at paragraph (b) of this clause and to monitor, detect, and terminate any agent, subcontract or subcontractor employee engaging in prohibited activities; and</w:t>
      </w:r>
    </w:p>
    <w:p w14:paraId="663374FD" w14:textId="77777777" w:rsidR="00434693" w:rsidRPr="000C758A" w:rsidRDefault="00434693" w:rsidP="00434693">
      <w:pPr>
        <w:pStyle w:val="BodyText"/>
        <w:jc w:val="both"/>
        <w:rPr>
          <w:rFonts w:cs="Arial"/>
          <w:bCs/>
          <w:iCs/>
        </w:rPr>
      </w:pPr>
      <w:r w:rsidRPr="000C758A">
        <w:rPr>
          <w:rFonts w:cs="Arial"/>
          <w:bCs/>
          <w:iCs/>
        </w:rPr>
        <w:t>(ii) After having conducted due diligence, either—</w:t>
      </w:r>
    </w:p>
    <w:p w14:paraId="5F1C0B1D" w14:textId="77777777" w:rsidR="00434693" w:rsidRPr="000C758A" w:rsidRDefault="00434693" w:rsidP="00434693">
      <w:pPr>
        <w:pStyle w:val="BodyText"/>
        <w:jc w:val="both"/>
        <w:rPr>
          <w:rFonts w:cs="Arial"/>
          <w:bCs/>
          <w:iCs/>
        </w:rPr>
      </w:pPr>
      <w:r w:rsidRPr="000C758A">
        <w:rPr>
          <w:rFonts w:cs="Arial"/>
          <w:bCs/>
          <w:iCs/>
        </w:rPr>
        <w:t>(A) To the best of the Contractor's knowledge and belief, neither it nor any of its agents, subcontractors, or their agents is engaged in any such activities; or</w:t>
      </w:r>
    </w:p>
    <w:p w14:paraId="51E34561" w14:textId="77777777" w:rsidR="00434693" w:rsidRPr="000C758A" w:rsidRDefault="00434693" w:rsidP="00434693">
      <w:pPr>
        <w:pStyle w:val="BodyText"/>
        <w:jc w:val="both"/>
        <w:rPr>
          <w:rFonts w:cs="Arial"/>
          <w:bCs/>
          <w:iCs/>
        </w:rPr>
      </w:pPr>
      <w:r w:rsidRPr="000C758A">
        <w:rPr>
          <w:rFonts w:cs="Arial"/>
          <w:bCs/>
          <w:iCs/>
        </w:rPr>
        <w:t>(B) If abuses relating to any of the prohibited activities identified in paragraph (b) of this clause have been found, the Contractor or subcontractor has taken the appropriate remedial and referral actions.</w:t>
      </w:r>
    </w:p>
    <w:p w14:paraId="16E97F05" w14:textId="77777777" w:rsidR="00434693" w:rsidRPr="000C758A" w:rsidRDefault="00434693" w:rsidP="00434693">
      <w:pPr>
        <w:pStyle w:val="BodyText"/>
        <w:jc w:val="both"/>
        <w:rPr>
          <w:rFonts w:cs="Arial"/>
          <w:bCs/>
          <w:iCs/>
        </w:rPr>
      </w:pPr>
      <w:r w:rsidRPr="000C758A">
        <w:rPr>
          <w:rFonts w:cs="Arial"/>
          <w:bCs/>
          <w:iCs/>
        </w:rPr>
        <w:t>(</w:t>
      </w:r>
      <w:proofErr w:type="spellStart"/>
      <w:r w:rsidRPr="000C758A">
        <w:rPr>
          <w:rFonts w:cs="Arial"/>
          <w:bCs/>
          <w:iCs/>
        </w:rPr>
        <w:t>i</w:t>
      </w:r>
      <w:proofErr w:type="spellEnd"/>
      <w:r w:rsidRPr="000C758A">
        <w:rPr>
          <w:rFonts w:cs="Arial"/>
          <w:bCs/>
          <w:iCs/>
        </w:rPr>
        <w:t xml:space="preserve">) Subcontracts. </w:t>
      </w:r>
    </w:p>
    <w:p w14:paraId="16BAA20F" w14:textId="77777777" w:rsidR="00434693" w:rsidRPr="000C758A" w:rsidRDefault="00434693" w:rsidP="00434693">
      <w:pPr>
        <w:pStyle w:val="BodyText"/>
        <w:jc w:val="both"/>
        <w:rPr>
          <w:rFonts w:cs="Arial"/>
          <w:bCs/>
          <w:iCs/>
        </w:rPr>
      </w:pPr>
      <w:r w:rsidRPr="000C758A">
        <w:rPr>
          <w:rFonts w:cs="Arial"/>
          <w:bCs/>
          <w:iCs/>
        </w:rPr>
        <w:t>(1) The Contractor shall include the substance of this clause, including this paragraph (</w:t>
      </w:r>
      <w:proofErr w:type="spellStart"/>
      <w:r w:rsidRPr="000C758A">
        <w:rPr>
          <w:rFonts w:cs="Arial"/>
          <w:bCs/>
          <w:iCs/>
        </w:rPr>
        <w:t>i</w:t>
      </w:r>
      <w:proofErr w:type="spellEnd"/>
      <w:r w:rsidRPr="000C758A">
        <w:rPr>
          <w:rFonts w:cs="Arial"/>
          <w:bCs/>
          <w:iCs/>
        </w:rPr>
        <w:t>), in all subcontracts and in all contracts with agents. The requirements in paragraph (h) of this clause apply only to any portion of the subcontract that—</w:t>
      </w:r>
    </w:p>
    <w:p w14:paraId="10E7D89E" w14:textId="77777777" w:rsidR="00434693" w:rsidRPr="000C758A" w:rsidRDefault="00434693" w:rsidP="00434693">
      <w:pPr>
        <w:pStyle w:val="BodyText"/>
        <w:jc w:val="both"/>
        <w:rPr>
          <w:rFonts w:cs="Arial"/>
          <w:bCs/>
          <w:iCs/>
        </w:rPr>
      </w:pPr>
      <w:r w:rsidRPr="000C758A">
        <w:rPr>
          <w:rFonts w:cs="Arial"/>
          <w:bCs/>
          <w:iCs/>
        </w:rPr>
        <w:t>(A) Is for supplies, other than commercially available off-the-shelf items, acquired outside the United States, or services to be performed outside the United States; and</w:t>
      </w:r>
    </w:p>
    <w:p w14:paraId="296DDD99" w14:textId="77777777" w:rsidR="00434693" w:rsidRPr="000C758A" w:rsidRDefault="00434693" w:rsidP="00434693">
      <w:pPr>
        <w:pStyle w:val="BodyText"/>
        <w:jc w:val="both"/>
        <w:rPr>
          <w:rFonts w:cs="Arial"/>
          <w:bCs/>
          <w:iCs/>
        </w:rPr>
      </w:pPr>
      <w:r w:rsidRPr="000C758A">
        <w:rPr>
          <w:rFonts w:cs="Arial"/>
          <w:bCs/>
          <w:iCs/>
        </w:rPr>
        <w:t>(B) Has an estimated value that exceeds $500,000.</w:t>
      </w:r>
    </w:p>
    <w:p w14:paraId="76DAF2E5" w14:textId="77777777" w:rsidR="00434693" w:rsidRPr="000C758A" w:rsidRDefault="00434693" w:rsidP="00434693">
      <w:pPr>
        <w:pStyle w:val="BodyText"/>
        <w:jc w:val="both"/>
        <w:rPr>
          <w:rFonts w:cs="Arial"/>
          <w:bCs/>
          <w:iCs/>
        </w:rPr>
      </w:pPr>
      <w:r w:rsidRPr="000C758A">
        <w:rPr>
          <w:rFonts w:cs="Arial"/>
          <w:bCs/>
          <w:iCs/>
        </w:rPr>
        <w:t>(2) If any subcontractor is required by this clause to submit a certification, the Contractor shall require submission prior to the award of the subcontract and annually thereafter. The certification shall cover the items in paragraph (h)(5) of this clause.</w:t>
      </w:r>
    </w:p>
    <w:p w14:paraId="48A543DC" w14:textId="77777777" w:rsidR="00434693" w:rsidRPr="000C758A" w:rsidRDefault="00434693" w:rsidP="00434693">
      <w:pPr>
        <w:pStyle w:val="BodyText"/>
        <w:jc w:val="both"/>
        <w:rPr>
          <w:rFonts w:cs="Arial"/>
          <w:bCs/>
          <w:iCs/>
        </w:rPr>
      </w:pPr>
      <w:r w:rsidRPr="000C758A">
        <w:rPr>
          <w:rFonts w:cs="Arial"/>
          <w:bCs/>
          <w:iCs/>
        </w:rPr>
        <w:t>(End of clause).</w:t>
      </w:r>
    </w:p>
    <w:p w14:paraId="072934C1" w14:textId="77777777" w:rsidR="00434693" w:rsidRPr="000C758A" w:rsidRDefault="00434693" w:rsidP="00434693">
      <w:pPr>
        <w:pStyle w:val="BodyText"/>
        <w:numPr>
          <w:ilvl w:val="0"/>
          <w:numId w:val="25"/>
        </w:numPr>
        <w:jc w:val="both"/>
        <w:rPr>
          <w:rFonts w:cs="Arial"/>
          <w:b/>
          <w:bCs/>
          <w:iCs/>
        </w:rPr>
      </w:pPr>
      <w:r w:rsidRPr="000C758A">
        <w:rPr>
          <w:rFonts w:cs="Arial"/>
          <w:b/>
          <w:bCs/>
          <w:iCs/>
        </w:rPr>
        <w:t>National Security Screening (Non-US Party Vetting):</w:t>
      </w:r>
    </w:p>
    <w:p w14:paraId="52D97DD2" w14:textId="77777777" w:rsidR="00434693" w:rsidRPr="000C758A" w:rsidRDefault="00434693" w:rsidP="00434693">
      <w:pPr>
        <w:pStyle w:val="BodyText"/>
        <w:jc w:val="both"/>
        <w:rPr>
          <w:rFonts w:cs="Arial"/>
          <w:bCs/>
          <w:iCs/>
        </w:rPr>
      </w:pPr>
      <w:r w:rsidRPr="000C758A">
        <w:rPr>
          <w:rFonts w:cs="Arial"/>
          <w:bCs/>
          <w:iCs/>
        </w:rPr>
        <w:lastRenderedPageBreak/>
        <w:t xml:space="preserve">The Purchase Order was awarded after following the procedures in the Implementing Partner Notice No. OAA-IP-2011-004 and subsequent Notices related to this matter which incorporated Mission Order No. 201.04 entitled, “National Security Screening (Non-US Party Vetting).  Copies of the Implementing Partner Notice(s) and the Mission Order can be obtained from the DAI's Representative named herein.  For awards that meet the Vetting threshold, USAID had issued an Eligibility Notice to DAI for the vendor prior awarding the Purchase Order.  This Eligibility Notice is valid for 12 months.   If the Purchase Order's Performance Period exceeds 12 months, the Vendor shall provide an updated information used in filing the Partner Information Form (PIF) to start a new vetting process to acquire a new Eligibility Notice for the Vendor.  Also, during the course of the 12 months, if the information provided by the vendor has changed, the Vendor shall notify DAI at once to update the Eligibility Notice issued for the Vendor. </w:t>
      </w:r>
    </w:p>
    <w:p w14:paraId="7CBCB37B" w14:textId="77777777" w:rsidR="00434693" w:rsidRPr="000C758A" w:rsidRDefault="00434693" w:rsidP="00434693">
      <w:pPr>
        <w:pStyle w:val="BodyText"/>
        <w:numPr>
          <w:ilvl w:val="0"/>
          <w:numId w:val="25"/>
        </w:numPr>
        <w:jc w:val="both"/>
        <w:rPr>
          <w:rFonts w:cs="Arial"/>
          <w:bCs/>
          <w:iCs/>
        </w:rPr>
      </w:pPr>
      <w:r w:rsidRPr="000C758A">
        <w:rPr>
          <w:rFonts w:cs="Arial"/>
          <w:b/>
          <w:bCs/>
          <w:iCs/>
        </w:rPr>
        <w:t>Certification Regarding Provision of Support to Persons Engaged in Terrorism</w:t>
      </w:r>
      <w:r w:rsidRPr="000C758A">
        <w:rPr>
          <w:rFonts w:cs="Arial"/>
          <w:bCs/>
          <w:iCs/>
        </w:rPr>
        <w:t>:</w:t>
      </w:r>
    </w:p>
    <w:p w14:paraId="6E3E7FD9" w14:textId="77777777" w:rsidR="00434693" w:rsidRPr="000C758A" w:rsidRDefault="00434693" w:rsidP="00434693">
      <w:pPr>
        <w:pStyle w:val="BodyText"/>
        <w:spacing w:after="0"/>
        <w:jc w:val="both"/>
        <w:rPr>
          <w:rFonts w:cs="Arial"/>
          <w:bCs/>
          <w:iCs/>
        </w:rPr>
      </w:pPr>
      <w:r w:rsidRPr="000C758A">
        <w:rPr>
          <w:rFonts w:cs="Arial"/>
          <w:bCs/>
          <w:iCs/>
        </w:rPr>
        <w:t>(a)</w:t>
      </w:r>
      <w:r w:rsidRPr="000C758A">
        <w:rPr>
          <w:rFonts w:cs="Arial"/>
          <w:bCs/>
          <w:iCs/>
        </w:rPr>
        <w:tab/>
        <w:t>By receiving this Purchase Order, the Vendor certifies, to the best of its knowledge and belief that:</w:t>
      </w:r>
    </w:p>
    <w:p w14:paraId="6EBBA5EF" w14:textId="77777777" w:rsidR="00434693" w:rsidRPr="000C758A" w:rsidRDefault="00434693" w:rsidP="00434693">
      <w:pPr>
        <w:pStyle w:val="BodyText"/>
        <w:spacing w:after="0"/>
        <w:jc w:val="both"/>
        <w:rPr>
          <w:rFonts w:cs="Arial"/>
          <w:bCs/>
          <w:iCs/>
        </w:rPr>
      </w:pPr>
      <w:r w:rsidRPr="000C758A">
        <w:rPr>
          <w:rFonts w:cs="Arial"/>
          <w:bCs/>
          <w:iCs/>
        </w:rPr>
        <w:t>(1)</w:t>
      </w:r>
      <w:r w:rsidRPr="000C758A">
        <w:rPr>
          <w:rFonts w:cs="Arial"/>
          <w:bCs/>
          <w:iCs/>
        </w:rPr>
        <w:tab/>
        <w:t>The Vendor, to the best of its current knowledge, did not provide, within the previous ten years, and will take all reasonable steps to ensure that it does not and will not knowingly provide, material support or resources to any individual or entity that commits, attempts to commit, advocates, facilitates, or participates in terrorism acts, or has committed, attempted to commit, facilitated, or participated in terrorist acts, as that term is defined in paragraph 3.</w:t>
      </w:r>
    </w:p>
    <w:p w14:paraId="2FD9B6A4" w14:textId="77777777" w:rsidR="00434693" w:rsidRPr="000C758A" w:rsidRDefault="00434693" w:rsidP="00434693">
      <w:pPr>
        <w:pStyle w:val="BodyText"/>
        <w:spacing w:after="0"/>
        <w:jc w:val="both"/>
        <w:rPr>
          <w:rFonts w:cs="Arial"/>
          <w:bCs/>
          <w:iCs/>
        </w:rPr>
      </w:pPr>
      <w:r w:rsidRPr="000C758A">
        <w:rPr>
          <w:rFonts w:cs="Arial"/>
          <w:bCs/>
          <w:iCs/>
        </w:rPr>
        <w:t>(2)</w:t>
      </w:r>
      <w:r w:rsidRPr="000C758A">
        <w:rPr>
          <w:rFonts w:cs="Arial"/>
          <w:bCs/>
          <w:iCs/>
        </w:rPr>
        <w:tab/>
        <w:t>The following steps may enable the Vendor to comply with its obligations under paragraph (1):</w:t>
      </w:r>
    </w:p>
    <w:p w14:paraId="4E406BF2" w14:textId="77777777" w:rsidR="00434693" w:rsidRPr="000C758A" w:rsidRDefault="00434693" w:rsidP="00434693">
      <w:pPr>
        <w:pStyle w:val="BodyText"/>
        <w:spacing w:after="0"/>
        <w:jc w:val="both"/>
        <w:rPr>
          <w:rFonts w:cs="Arial"/>
          <w:bCs/>
          <w:iCs/>
        </w:rPr>
      </w:pPr>
      <w:r w:rsidRPr="000C758A">
        <w:rPr>
          <w:rFonts w:cs="Arial"/>
          <w:bCs/>
          <w:iCs/>
        </w:rPr>
        <w:t>a.</w:t>
      </w:r>
      <w:r w:rsidRPr="000C758A">
        <w:rPr>
          <w:rFonts w:cs="Arial"/>
          <w:bCs/>
          <w:iCs/>
        </w:rPr>
        <w:tab/>
        <w:t>Before providing any material support or resources to an individual or entity, the Vendor will verify that the individual or entity does not (</w:t>
      </w:r>
      <w:proofErr w:type="spellStart"/>
      <w:r w:rsidRPr="000C758A">
        <w:rPr>
          <w:rFonts w:cs="Arial"/>
          <w:bCs/>
          <w:iCs/>
        </w:rPr>
        <w:t>i</w:t>
      </w:r>
      <w:proofErr w:type="spellEnd"/>
      <w:r w:rsidRPr="000C758A">
        <w:rPr>
          <w:rFonts w:cs="Arial"/>
          <w:bCs/>
          <w:iCs/>
        </w:rPr>
        <w:t xml:space="preserve">) appear on the master list of Specially Designated nationals and Blocked Persons, which list is maintained by the U.S. Treasury’s  Office of Foreign Assets Control (OFAC) and is available online at OFAC’s website: </w:t>
      </w:r>
      <w:hyperlink r:id="rId23" w:history="1">
        <w:r w:rsidRPr="000C758A">
          <w:rPr>
            <w:rStyle w:val="Hyperlink"/>
            <w:rFonts w:cs="Arial"/>
            <w:bCs/>
            <w:iCs/>
          </w:rPr>
          <w:t>http://www.treas.gov/offices/eotffc/ofac/sdn/t11sdn.pdf</w:t>
        </w:r>
      </w:hyperlink>
      <w:r w:rsidRPr="000C758A">
        <w:rPr>
          <w:rFonts w:cs="Arial"/>
          <w:bCs/>
          <w:iCs/>
        </w:rPr>
        <w:t>, or (ii) is not included in any supplementary information concerning prohibited individuals or entities that may be provided by USAID to DAI.</w:t>
      </w:r>
    </w:p>
    <w:p w14:paraId="187A0FDD" w14:textId="77777777" w:rsidR="00434693" w:rsidRPr="000C758A" w:rsidRDefault="00434693" w:rsidP="00434693">
      <w:pPr>
        <w:pStyle w:val="BodyText"/>
        <w:spacing w:after="0"/>
        <w:jc w:val="both"/>
        <w:rPr>
          <w:rFonts w:cs="Arial"/>
          <w:bCs/>
          <w:iCs/>
        </w:rPr>
      </w:pPr>
      <w:r w:rsidRPr="000C758A">
        <w:rPr>
          <w:rFonts w:cs="Arial"/>
          <w:bCs/>
          <w:iCs/>
        </w:rPr>
        <w:t>b.</w:t>
      </w:r>
      <w:r w:rsidRPr="000C758A">
        <w:rPr>
          <w:rFonts w:cs="Arial"/>
          <w:bCs/>
          <w:iCs/>
        </w:rPr>
        <w:tab/>
        <w:t xml:space="preserve">Before providing any material support or resources to an individual or entity, the Vendor also will verify that the individual or entity has not been designated by the United Nations Security (UNSC) sanctions committee established under UNSC Resolution 1267 (1999) (the “1267 Committee”) [individuals and entities linked to the Taliban, Osama bin Laden, or the Al </w:t>
      </w:r>
      <w:proofErr w:type="spellStart"/>
      <w:r w:rsidRPr="000C758A">
        <w:rPr>
          <w:rFonts w:cs="Arial"/>
          <w:bCs/>
          <w:iCs/>
        </w:rPr>
        <w:t>Qaidia</w:t>
      </w:r>
      <w:proofErr w:type="spellEnd"/>
      <w:r w:rsidRPr="000C758A">
        <w:rPr>
          <w:rFonts w:cs="Arial"/>
          <w:bCs/>
          <w:iCs/>
        </w:rPr>
        <w:t xml:space="preserve"> Organization].   To determine whether there has been a published designation of an individual or entity by the 1267 Committee, the Subcontractor should refer to the consolidated list available online at the Committee’s website: </w:t>
      </w:r>
      <w:hyperlink r:id="rId24" w:history="1">
        <w:r w:rsidRPr="000C758A">
          <w:rPr>
            <w:rStyle w:val="Hyperlink"/>
            <w:rFonts w:cs="Arial"/>
            <w:bCs/>
            <w:iCs/>
          </w:rPr>
          <w:t>http://www.un.org/Docs/sc/committees/1267/1267ListEng.htm</w:t>
        </w:r>
      </w:hyperlink>
      <w:r w:rsidRPr="000C758A">
        <w:rPr>
          <w:rFonts w:cs="Arial"/>
          <w:bCs/>
          <w:iCs/>
        </w:rPr>
        <w:t>.</w:t>
      </w:r>
    </w:p>
    <w:p w14:paraId="1DBF48CF" w14:textId="77777777" w:rsidR="00434693" w:rsidRPr="000C758A" w:rsidRDefault="00434693" w:rsidP="00434693">
      <w:pPr>
        <w:pStyle w:val="BodyText"/>
        <w:spacing w:after="0"/>
        <w:jc w:val="both"/>
        <w:rPr>
          <w:rFonts w:cs="Arial"/>
          <w:bCs/>
          <w:iCs/>
        </w:rPr>
      </w:pPr>
      <w:r w:rsidRPr="000C758A">
        <w:rPr>
          <w:rFonts w:cs="Arial"/>
          <w:bCs/>
          <w:iCs/>
        </w:rPr>
        <w:t>c.</w:t>
      </w:r>
      <w:r w:rsidRPr="000C758A">
        <w:rPr>
          <w:rFonts w:cs="Arial"/>
          <w:bCs/>
          <w:iCs/>
        </w:rPr>
        <w:tab/>
        <w:t>Before providing any material support or resources to an individual or entity, the Vendor will consider all information about that individual or entity of which it is aware and all public information that is reasonably available to it or of which it should be aware.</w:t>
      </w:r>
    </w:p>
    <w:p w14:paraId="4E58F787" w14:textId="77777777" w:rsidR="00434693" w:rsidRPr="000C758A" w:rsidRDefault="00434693" w:rsidP="00434693">
      <w:pPr>
        <w:pStyle w:val="BodyText"/>
        <w:spacing w:after="0"/>
        <w:jc w:val="both"/>
        <w:rPr>
          <w:rFonts w:cs="Arial"/>
          <w:bCs/>
          <w:iCs/>
        </w:rPr>
      </w:pPr>
      <w:r w:rsidRPr="000C758A">
        <w:rPr>
          <w:rFonts w:cs="Arial"/>
          <w:bCs/>
          <w:iCs/>
        </w:rPr>
        <w:t>d.</w:t>
      </w:r>
      <w:r w:rsidRPr="000C758A">
        <w:rPr>
          <w:rFonts w:cs="Arial"/>
          <w:bCs/>
          <w:iCs/>
        </w:rPr>
        <w:tab/>
        <w:t>The Vendor also will implement reasonable monitoring and oversight procedures to safeguard against assistance being diverted to support terrorist activity.</w:t>
      </w:r>
    </w:p>
    <w:p w14:paraId="461CD713" w14:textId="77777777" w:rsidR="00434693" w:rsidRPr="000C758A" w:rsidRDefault="00434693" w:rsidP="00434693">
      <w:pPr>
        <w:pStyle w:val="BodyText"/>
        <w:jc w:val="both"/>
        <w:rPr>
          <w:rFonts w:cs="Arial"/>
          <w:bCs/>
          <w:iCs/>
        </w:rPr>
      </w:pPr>
      <w:r w:rsidRPr="000C758A">
        <w:rPr>
          <w:rFonts w:cs="Arial"/>
          <w:bCs/>
          <w:iCs/>
        </w:rPr>
        <w:t>(3)</w:t>
      </w:r>
      <w:r w:rsidRPr="000C758A">
        <w:rPr>
          <w:rFonts w:cs="Arial"/>
          <w:bCs/>
          <w:iCs/>
        </w:rPr>
        <w:tab/>
        <w:t>For the purpose of this Certification.</w:t>
      </w:r>
    </w:p>
    <w:p w14:paraId="5B73D65B" w14:textId="77777777" w:rsidR="00434693" w:rsidRPr="000C758A" w:rsidRDefault="00434693" w:rsidP="00434693">
      <w:pPr>
        <w:pStyle w:val="BodyText"/>
        <w:jc w:val="both"/>
        <w:rPr>
          <w:rFonts w:cs="Arial"/>
          <w:bCs/>
          <w:iCs/>
        </w:rPr>
      </w:pPr>
      <w:r w:rsidRPr="000C758A">
        <w:rPr>
          <w:rFonts w:cs="Arial"/>
          <w:bCs/>
          <w:iCs/>
        </w:rPr>
        <w:t>a.</w:t>
      </w:r>
      <w:r w:rsidRPr="000C758A">
        <w:rPr>
          <w:rFonts w:cs="Arial"/>
          <w:bCs/>
          <w:iCs/>
        </w:rPr>
        <w:tab/>
        <w:t>“Material support and resources” means currency or monetary instruments or financial securities, financial services, lodging, training, expert advice or assistance, safe houses, false documentation or identification, communications equipment, facilities, weapons, lethal substances, explosives, personnel, transportation, and other physical assets, except medicine or religious materials.</w:t>
      </w:r>
    </w:p>
    <w:p w14:paraId="05F354D4" w14:textId="77777777" w:rsidR="00434693" w:rsidRPr="000C758A" w:rsidRDefault="00434693" w:rsidP="00434693">
      <w:pPr>
        <w:pStyle w:val="BodyText"/>
        <w:jc w:val="both"/>
        <w:rPr>
          <w:rFonts w:cs="Arial"/>
          <w:bCs/>
          <w:iCs/>
        </w:rPr>
      </w:pPr>
      <w:r w:rsidRPr="000C758A">
        <w:rPr>
          <w:rFonts w:cs="Arial"/>
          <w:bCs/>
          <w:iCs/>
        </w:rPr>
        <w:t>b.</w:t>
      </w:r>
      <w:r w:rsidRPr="000C758A">
        <w:rPr>
          <w:rFonts w:cs="Arial"/>
          <w:bCs/>
          <w:iCs/>
        </w:rPr>
        <w:tab/>
        <w:t>“Terrorist act” means –</w:t>
      </w:r>
    </w:p>
    <w:p w14:paraId="6309EE7A" w14:textId="77777777" w:rsidR="00434693" w:rsidRPr="000C758A" w:rsidRDefault="00434693" w:rsidP="00434693">
      <w:pPr>
        <w:pStyle w:val="BodyText"/>
        <w:jc w:val="both"/>
        <w:rPr>
          <w:rFonts w:cs="Arial"/>
          <w:bCs/>
          <w:iCs/>
        </w:rPr>
      </w:pPr>
      <w:r w:rsidRPr="000C758A">
        <w:rPr>
          <w:rFonts w:cs="Arial"/>
          <w:bCs/>
          <w:iCs/>
        </w:rPr>
        <w:t>(</w:t>
      </w:r>
      <w:proofErr w:type="spellStart"/>
      <w:r w:rsidRPr="000C758A">
        <w:rPr>
          <w:rFonts w:cs="Arial"/>
          <w:bCs/>
          <w:iCs/>
        </w:rPr>
        <w:t>i</w:t>
      </w:r>
      <w:proofErr w:type="spellEnd"/>
      <w:r w:rsidRPr="000C758A">
        <w:rPr>
          <w:rFonts w:cs="Arial"/>
          <w:bCs/>
          <w:iCs/>
        </w:rPr>
        <w:t>)</w:t>
      </w:r>
      <w:r w:rsidRPr="000C758A">
        <w:rPr>
          <w:rFonts w:cs="Arial"/>
          <w:bCs/>
          <w:iCs/>
        </w:rPr>
        <w:tab/>
        <w:t xml:space="preserve">an act prohibited pursuant to one of the 12 United nations Conventions and Protocols related to terrorism (see UN terrorism conventions Internet site: </w:t>
      </w:r>
      <w:hyperlink r:id="rId25" w:history="1">
        <w:r w:rsidRPr="000C758A">
          <w:rPr>
            <w:rStyle w:val="Hyperlink"/>
            <w:rFonts w:cs="Arial"/>
            <w:bCs/>
            <w:iCs/>
          </w:rPr>
          <w:t>http://untreaty.un.org/English /Terrorism.asp</w:t>
        </w:r>
      </w:hyperlink>
      <w:r w:rsidRPr="000C758A">
        <w:rPr>
          <w:rFonts w:cs="Arial"/>
          <w:bCs/>
          <w:iCs/>
        </w:rPr>
        <w:t xml:space="preserve">); or </w:t>
      </w:r>
    </w:p>
    <w:p w14:paraId="0F0EB7A2" w14:textId="77777777" w:rsidR="00434693" w:rsidRPr="000C758A" w:rsidRDefault="00434693" w:rsidP="00434693">
      <w:pPr>
        <w:pStyle w:val="BodyText"/>
        <w:jc w:val="both"/>
        <w:rPr>
          <w:rFonts w:cs="Arial"/>
          <w:bCs/>
          <w:iCs/>
        </w:rPr>
      </w:pPr>
      <w:r w:rsidRPr="000C758A">
        <w:rPr>
          <w:rFonts w:cs="Arial"/>
          <w:bCs/>
          <w:iCs/>
        </w:rPr>
        <w:t>(ii)</w:t>
      </w:r>
      <w:r w:rsidRPr="000C758A">
        <w:rPr>
          <w:rFonts w:cs="Arial"/>
          <w:bCs/>
          <w:iCs/>
        </w:rPr>
        <w:tab/>
        <w:t xml:space="preserve">an act of premeditated, politically motivated violence perpetrated against noncombatant targets by sub-national groups or clandestine agents; or </w:t>
      </w:r>
    </w:p>
    <w:p w14:paraId="42A77840" w14:textId="77777777" w:rsidR="00434693" w:rsidRPr="000C758A" w:rsidRDefault="00434693" w:rsidP="00434693">
      <w:pPr>
        <w:pStyle w:val="BodyText"/>
        <w:spacing w:after="0"/>
        <w:jc w:val="both"/>
        <w:rPr>
          <w:rFonts w:cs="Arial"/>
          <w:bCs/>
          <w:iCs/>
        </w:rPr>
      </w:pPr>
      <w:r w:rsidRPr="000C758A">
        <w:rPr>
          <w:rFonts w:cs="Arial"/>
          <w:bCs/>
          <w:iCs/>
        </w:rPr>
        <w:lastRenderedPageBreak/>
        <w:t>(iii)</w:t>
      </w:r>
      <w:r w:rsidRPr="000C758A">
        <w:rPr>
          <w:rFonts w:cs="Arial"/>
          <w:bCs/>
          <w:iCs/>
        </w:rPr>
        <w:tab/>
        <w:t>any other person not taking an active part in hostilities in situations of armed conflict, when the purpose of such act, by its nature or context, is to intimidate a population, or to compel a government or an international organization to do or to abstain from doing any act.</w:t>
      </w:r>
    </w:p>
    <w:p w14:paraId="2DBD0425" w14:textId="77777777" w:rsidR="00434693" w:rsidRPr="000C758A" w:rsidRDefault="00434693" w:rsidP="00434693">
      <w:pPr>
        <w:pStyle w:val="BodyText"/>
        <w:spacing w:after="0"/>
        <w:jc w:val="both"/>
        <w:rPr>
          <w:rFonts w:cs="Arial"/>
          <w:bCs/>
          <w:iCs/>
        </w:rPr>
      </w:pPr>
      <w:r w:rsidRPr="000C758A">
        <w:rPr>
          <w:rFonts w:cs="Arial"/>
          <w:bCs/>
          <w:iCs/>
        </w:rPr>
        <w:t>c.</w:t>
      </w:r>
      <w:r w:rsidRPr="000C758A">
        <w:rPr>
          <w:rFonts w:cs="Arial"/>
          <w:bCs/>
          <w:iCs/>
        </w:rPr>
        <w:tab/>
        <w:t>“Entity” means a partnership, association, corporation, or other organization, group or subgroups.</w:t>
      </w:r>
    </w:p>
    <w:p w14:paraId="4754D190" w14:textId="77777777" w:rsidR="00434693" w:rsidRPr="000C758A" w:rsidRDefault="00434693" w:rsidP="00434693">
      <w:pPr>
        <w:pStyle w:val="BodyText"/>
        <w:jc w:val="both"/>
        <w:rPr>
          <w:rFonts w:cs="Arial"/>
          <w:bCs/>
          <w:iCs/>
        </w:rPr>
      </w:pPr>
      <w:r w:rsidRPr="000C758A">
        <w:rPr>
          <w:rFonts w:cs="Arial"/>
          <w:bCs/>
          <w:iCs/>
        </w:rPr>
        <w:t>d.</w:t>
      </w:r>
      <w:r w:rsidRPr="000C758A">
        <w:rPr>
          <w:rFonts w:cs="Arial"/>
          <w:bCs/>
          <w:iCs/>
        </w:rPr>
        <w:tab/>
        <w:t>Reference in this Certification to the provision of material support and resources shall not be deemed to include the furnishing of USAID funds or USAID-financed commodities to the unlimited beneficiaries of USAID assistance, such as recipients of food, medical care, micro-enterprise loans, shelter, etc., unless the Vendor has reason to believe that one or more of these beneficiaries commits, attempts to commit, advocates, facilitates, or participates in terrorist acts, or has committed, attempted to commit, facilitated or participated in terrorist acts.</w:t>
      </w:r>
    </w:p>
    <w:p w14:paraId="1BF85E27" w14:textId="77777777" w:rsidR="00434693" w:rsidRPr="000C758A" w:rsidRDefault="00434693" w:rsidP="00434693">
      <w:pPr>
        <w:pStyle w:val="BodyText"/>
        <w:jc w:val="both"/>
        <w:rPr>
          <w:rFonts w:cs="Arial"/>
          <w:bCs/>
          <w:iCs/>
        </w:rPr>
      </w:pPr>
      <w:r w:rsidRPr="000C758A">
        <w:rPr>
          <w:rFonts w:cs="Arial"/>
          <w:bCs/>
          <w:iCs/>
        </w:rPr>
        <w:t>(b)</w:t>
      </w:r>
      <w:r w:rsidRPr="000C758A">
        <w:rPr>
          <w:rFonts w:cs="Arial"/>
          <w:bCs/>
          <w:iCs/>
        </w:rPr>
        <w:tab/>
        <w:t>By accepting or start performing this Purchase Order, the Vendor acknowledges that it has a continuing obligation and shall notify DAI within 72 hours in writing if it has intentionally or unintentionally taken any actions that have the result and effect of being inconsistent with the certification in subsection (a).</w:t>
      </w:r>
    </w:p>
    <w:p w14:paraId="2240B3AB" w14:textId="77777777" w:rsidR="00434693" w:rsidRPr="000C758A" w:rsidRDefault="00434693" w:rsidP="00434693">
      <w:pPr>
        <w:pStyle w:val="BodyText"/>
        <w:jc w:val="both"/>
        <w:rPr>
          <w:rFonts w:cs="Arial"/>
          <w:bCs/>
          <w:iCs/>
        </w:rPr>
      </w:pPr>
      <w:r w:rsidRPr="000C758A">
        <w:rPr>
          <w:rFonts w:cs="Arial"/>
          <w:bCs/>
          <w:iCs/>
        </w:rPr>
        <w:t>(c)</w:t>
      </w:r>
      <w:r w:rsidRPr="000C758A">
        <w:rPr>
          <w:rFonts w:cs="Arial"/>
          <w:bCs/>
          <w:iCs/>
        </w:rPr>
        <w:tab/>
        <w:t>The certification in paragraph (a) of this clause and the requirement to update DAI as to a change in status as set forth in paragraph (b) are representations upon which reliance was placed when making the award.  If it is later determined that the Vendor knowingly rendered an erroneous certification, or did not notify DAI in writing of a change in such certification, in addition to other remedies available to the U.S. Government and DAI, DAI may terminate this sub award for default.  DAI may also cease payments due to the Vendor even if goods and services have been provided.</w:t>
      </w:r>
    </w:p>
    <w:p w14:paraId="27397520" w14:textId="77777777" w:rsidR="00434693" w:rsidRPr="000C758A" w:rsidRDefault="00434693" w:rsidP="00434693">
      <w:pPr>
        <w:pStyle w:val="BodyText"/>
        <w:spacing w:after="0"/>
        <w:jc w:val="both"/>
        <w:rPr>
          <w:rFonts w:cs="Arial"/>
          <w:b/>
          <w:bCs/>
          <w:iCs/>
        </w:rPr>
      </w:pPr>
      <w:r w:rsidRPr="000C758A">
        <w:rPr>
          <w:rFonts w:cs="Arial"/>
          <w:b/>
          <w:bCs/>
          <w:iCs/>
        </w:rPr>
        <w:t>9. Restrictions on Certain Foreign Purchases (JUNE 2008)</w:t>
      </w:r>
      <w:r w:rsidRPr="000C758A">
        <w:rPr>
          <w:rFonts w:cs="Arial"/>
          <w:b/>
          <w:bCs/>
          <w:iCs/>
        </w:rPr>
        <w:tab/>
      </w:r>
    </w:p>
    <w:p w14:paraId="624F0379" w14:textId="77777777" w:rsidR="00434693" w:rsidRPr="000C758A" w:rsidRDefault="00434693" w:rsidP="00434693">
      <w:pPr>
        <w:pStyle w:val="BodyText"/>
        <w:jc w:val="both"/>
        <w:rPr>
          <w:rFonts w:cs="Arial"/>
          <w:bCs/>
          <w:iCs/>
        </w:rPr>
      </w:pPr>
      <w:r w:rsidRPr="000C758A">
        <w:rPr>
          <w:rFonts w:cs="Arial"/>
          <w:bCs/>
          <w:iCs/>
        </w:rPr>
        <w:t>(a) Except as authorized by the Office of Foreign Assets Control (OFAC) in the Department of the Treasury, the Contractor shall not acquire, for use in the performance of this contract, any supplies or services if any proclamation. Executive order, or statute administered by OFAC, or if OFACs implementing regulations at 31 CFR Chapter V, would prohibit such a transaction by a person subject to the jurisdiction of the United States.</w:t>
      </w:r>
    </w:p>
    <w:p w14:paraId="0C45114D" w14:textId="77777777" w:rsidR="00434693" w:rsidRPr="000C758A" w:rsidRDefault="00434693" w:rsidP="00434693">
      <w:pPr>
        <w:pStyle w:val="BodyText"/>
        <w:jc w:val="both"/>
        <w:rPr>
          <w:rFonts w:cs="Arial"/>
          <w:bCs/>
          <w:iCs/>
        </w:rPr>
      </w:pPr>
      <w:r w:rsidRPr="000C758A">
        <w:rPr>
          <w:rFonts w:cs="Arial"/>
          <w:bCs/>
          <w:iCs/>
        </w:rPr>
        <w:t xml:space="preserve">(b) Except as authorized by OFAC, most transactions involving Cuba, Iran, and Sudan are prohibited, as are most imports from Burma or North Korea, into the United States or its outlying areas. Lists of entities and individuals subject to economic sanctions are included in OFAC's List of Specially Designated Nationals and Blocked Persons at http:// </w:t>
      </w:r>
      <w:hyperlink r:id="rId26" w:history="1">
        <w:r w:rsidRPr="000C758A">
          <w:rPr>
            <w:rStyle w:val="Hyperlink"/>
            <w:rFonts w:cs="Arial"/>
            <w:bCs/>
            <w:iCs/>
          </w:rPr>
          <w:t>www.treas.gov/offices/enforcement/ofac/sdn</w:t>
        </w:r>
      </w:hyperlink>
      <w:r w:rsidRPr="000C758A">
        <w:rPr>
          <w:rFonts w:cs="Arial"/>
          <w:bCs/>
          <w:iCs/>
        </w:rPr>
        <w:t xml:space="preserve">. More information about these restrictions, as well as updates, is available in the OFAC's regulations at 31 CFR Chapter V and/or on OFAC's website at http:// </w:t>
      </w:r>
      <w:hyperlink r:id="rId27" w:history="1">
        <w:r w:rsidRPr="000C758A">
          <w:rPr>
            <w:rStyle w:val="Hyperlink"/>
            <w:rFonts w:cs="Arial"/>
            <w:bCs/>
            <w:iCs/>
          </w:rPr>
          <w:t>www.treas.gov/offices/enforcement/ofac</w:t>
        </w:r>
      </w:hyperlink>
      <w:r w:rsidRPr="000C758A">
        <w:rPr>
          <w:rFonts w:cs="Arial"/>
          <w:bCs/>
          <w:iCs/>
        </w:rPr>
        <w:t>.</w:t>
      </w:r>
    </w:p>
    <w:p w14:paraId="50B5705E" w14:textId="77777777" w:rsidR="00434693" w:rsidRPr="000C758A" w:rsidRDefault="00434693" w:rsidP="00434693">
      <w:pPr>
        <w:pStyle w:val="BodyText"/>
        <w:jc w:val="both"/>
        <w:rPr>
          <w:rFonts w:cs="Arial"/>
          <w:bCs/>
          <w:iCs/>
        </w:rPr>
      </w:pPr>
      <w:r w:rsidRPr="000C758A">
        <w:rPr>
          <w:rFonts w:cs="Arial"/>
          <w:bCs/>
          <w:iCs/>
        </w:rPr>
        <w:t>(c) The Contractor shall insert this clause, including this paragraph (c), in all sub-contracts.</w:t>
      </w:r>
    </w:p>
    <w:p w14:paraId="5BA4A53B" w14:textId="6D44FBA9" w:rsidR="00434693" w:rsidRDefault="00434693" w:rsidP="00434693">
      <w:pPr>
        <w:jc w:val="both"/>
        <w:rPr>
          <w:rFonts w:cs="Arial"/>
          <w:bCs/>
          <w:iCs/>
          <w:sz w:val="20"/>
          <w:szCs w:val="20"/>
        </w:rPr>
      </w:pPr>
      <w:r w:rsidRPr="000C758A">
        <w:rPr>
          <w:rFonts w:cs="Arial"/>
          <w:bCs/>
          <w:iCs/>
          <w:sz w:val="20"/>
          <w:szCs w:val="20"/>
        </w:rPr>
        <w:t>(d) Before awarding any grant or similar instrument, the Contractor/Recipient shall obtain from the proposed sub-awardee the certification required under USAID's Acquisition and Assistance Policy Determination 04-14 (AAPD 04-14), "Certification Regarding Terrorist Financing Implementation E.O. 13224 (Revision 2).</w:t>
      </w:r>
    </w:p>
    <w:p w14:paraId="0A778380" w14:textId="25FC77C7" w:rsidR="00434693" w:rsidRDefault="00434693" w:rsidP="00434693">
      <w:pPr>
        <w:jc w:val="both"/>
        <w:rPr>
          <w:rFonts w:cs="Arial"/>
          <w:bCs/>
          <w:iCs/>
          <w:sz w:val="20"/>
          <w:szCs w:val="20"/>
        </w:rPr>
      </w:pPr>
    </w:p>
    <w:p w14:paraId="618BE28F" w14:textId="4E7F7CE9" w:rsidR="00434693" w:rsidRDefault="00434693" w:rsidP="00434693">
      <w:pPr>
        <w:jc w:val="both"/>
        <w:rPr>
          <w:rFonts w:cs="Arial"/>
          <w:bCs/>
          <w:iCs/>
          <w:sz w:val="20"/>
          <w:szCs w:val="20"/>
        </w:rPr>
      </w:pPr>
    </w:p>
    <w:p w14:paraId="0BE7E53E" w14:textId="5A5232E5" w:rsidR="00434693" w:rsidRDefault="00434693" w:rsidP="00434693">
      <w:pPr>
        <w:jc w:val="both"/>
        <w:rPr>
          <w:rFonts w:cs="Arial"/>
          <w:bCs/>
          <w:iCs/>
          <w:sz w:val="20"/>
          <w:szCs w:val="20"/>
        </w:rPr>
      </w:pPr>
    </w:p>
    <w:p w14:paraId="1E775DF3" w14:textId="645BF630" w:rsidR="00434693" w:rsidRDefault="00434693" w:rsidP="00434693">
      <w:pPr>
        <w:jc w:val="both"/>
        <w:rPr>
          <w:rFonts w:cs="Arial"/>
          <w:bCs/>
          <w:iCs/>
          <w:sz w:val="20"/>
          <w:szCs w:val="20"/>
        </w:rPr>
      </w:pPr>
    </w:p>
    <w:p w14:paraId="37007125" w14:textId="77777777" w:rsidR="00434693" w:rsidRDefault="00434693" w:rsidP="00434693">
      <w:pPr>
        <w:jc w:val="both"/>
        <w:rPr>
          <w:rFonts w:cs="Arial"/>
          <w:bCs/>
          <w:iCs/>
          <w:sz w:val="20"/>
          <w:szCs w:val="20"/>
        </w:rPr>
      </w:pPr>
    </w:p>
    <w:p w14:paraId="5663B587" w14:textId="673166E3" w:rsidR="00434693" w:rsidRPr="00434693" w:rsidRDefault="00434693" w:rsidP="00434693">
      <w:pPr>
        <w:pStyle w:val="Heading2"/>
        <w:numPr>
          <w:ilvl w:val="0"/>
          <w:numId w:val="0"/>
        </w:numPr>
        <w:spacing w:before="120" w:line="240" w:lineRule="auto"/>
        <w:ind w:left="576" w:hanging="576"/>
        <w:rPr>
          <w:color w:val="2E74B5" w:themeColor="accent1" w:themeShade="BF"/>
        </w:rPr>
      </w:pPr>
      <w:r w:rsidRPr="00434693">
        <w:rPr>
          <w:color w:val="2E74B5" w:themeColor="accent1" w:themeShade="BF"/>
        </w:rPr>
        <w:lastRenderedPageBreak/>
        <w:t>Attachment E: Proposal Checklist</w:t>
      </w:r>
    </w:p>
    <w:p w14:paraId="4A37E7DD" w14:textId="77777777" w:rsidR="00434693" w:rsidRPr="009F6F3A" w:rsidRDefault="00434693" w:rsidP="00434693">
      <w:pPr>
        <w:rPr>
          <w:sz w:val="20"/>
          <w:szCs w:val="20"/>
        </w:rPr>
      </w:pPr>
    </w:p>
    <w:p w14:paraId="5DC6F1BC" w14:textId="77777777" w:rsidR="00434693" w:rsidRPr="009F6F3A" w:rsidRDefault="00434693" w:rsidP="00434693">
      <w:pPr>
        <w:rPr>
          <w:sz w:val="20"/>
          <w:szCs w:val="20"/>
        </w:rPr>
      </w:pPr>
      <w:r w:rsidRPr="009F6F3A">
        <w:rPr>
          <w:sz w:val="20"/>
          <w:szCs w:val="20"/>
        </w:rPr>
        <w:t>Offeror: __________________________________________________________________________</w:t>
      </w:r>
    </w:p>
    <w:p w14:paraId="34349B14" w14:textId="77777777" w:rsidR="00434693" w:rsidRPr="009F6F3A" w:rsidRDefault="00434693" w:rsidP="00434693">
      <w:pPr>
        <w:rPr>
          <w:sz w:val="20"/>
          <w:szCs w:val="20"/>
        </w:rPr>
      </w:pPr>
      <w:r w:rsidRPr="009F6F3A">
        <w:rPr>
          <w:sz w:val="20"/>
          <w:szCs w:val="20"/>
        </w:rPr>
        <w:t xml:space="preserve">Have you? </w:t>
      </w:r>
    </w:p>
    <w:p w14:paraId="612E29AD" w14:textId="77777777" w:rsidR="00434693" w:rsidRPr="009F6F3A" w:rsidRDefault="00434693" w:rsidP="00434693">
      <w:pPr>
        <w:rPr>
          <w:sz w:val="20"/>
          <w:szCs w:val="20"/>
        </w:rPr>
      </w:pPr>
      <w:r w:rsidRPr="009F6F3A">
        <w:rPr>
          <w:sz w:val="20"/>
          <w:szCs w:val="20"/>
        </w:rPr>
        <w:fldChar w:fldCharType="begin">
          <w:ffData>
            <w:name w:val="Check1"/>
            <w:enabled/>
            <w:calcOnExit w:val="0"/>
            <w:checkBox>
              <w:sizeAuto/>
              <w:default w:val="0"/>
            </w:checkBox>
          </w:ffData>
        </w:fldChar>
      </w:r>
      <w:r w:rsidRPr="009F6F3A">
        <w:rPr>
          <w:sz w:val="20"/>
          <w:szCs w:val="20"/>
        </w:rPr>
        <w:instrText xml:space="preserve"> FORMCHECKBOX </w:instrText>
      </w:r>
      <w:r w:rsidR="00781BF8">
        <w:rPr>
          <w:sz w:val="20"/>
          <w:szCs w:val="20"/>
        </w:rPr>
      </w:r>
      <w:r w:rsidR="00781BF8">
        <w:rPr>
          <w:sz w:val="20"/>
          <w:szCs w:val="20"/>
        </w:rPr>
        <w:fldChar w:fldCharType="separate"/>
      </w:r>
      <w:r w:rsidRPr="009F6F3A">
        <w:rPr>
          <w:sz w:val="20"/>
          <w:szCs w:val="20"/>
        </w:rPr>
        <w:fldChar w:fldCharType="end"/>
      </w:r>
      <w:r w:rsidRPr="009F6F3A">
        <w:rPr>
          <w:sz w:val="20"/>
          <w:szCs w:val="20"/>
        </w:rPr>
        <w:tab/>
        <w:t xml:space="preserve">Submitted your proposal to DAI/RADP-E to </w:t>
      </w:r>
      <w:hyperlink r:id="rId28" w:history="1">
        <w:r w:rsidRPr="009F6F3A">
          <w:rPr>
            <w:sz w:val="20"/>
            <w:szCs w:val="20"/>
          </w:rPr>
          <w:t>ProcurementRADP_East_Inbox@dai.com</w:t>
        </w:r>
      </w:hyperlink>
      <w:r w:rsidRPr="009F6F3A">
        <w:rPr>
          <w:sz w:val="20"/>
          <w:szCs w:val="20"/>
        </w:rPr>
        <w:t xml:space="preserve"> as specified in General Instructions above?</w:t>
      </w:r>
    </w:p>
    <w:p w14:paraId="4301C2C4" w14:textId="77777777" w:rsidR="00434693" w:rsidRPr="009F6F3A" w:rsidRDefault="00434693" w:rsidP="00434693">
      <w:pPr>
        <w:rPr>
          <w:sz w:val="20"/>
          <w:szCs w:val="20"/>
        </w:rPr>
      </w:pPr>
      <w:r>
        <w:rPr>
          <w:sz w:val="20"/>
          <w:szCs w:val="20"/>
        </w:rPr>
        <w:t>The proposal must have the following.</w:t>
      </w:r>
      <w:r w:rsidRPr="009F6F3A">
        <w:rPr>
          <w:sz w:val="20"/>
          <w:szCs w:val="20"/>
        </w:rPr>
        <w:t xml:space="preserve"> </w:t>
      </w:r>
    </w:p>
    <w:p w14:paraId="3599A8C7" w14:textId="77777777" w:rsidR="00434693" w:rsidRPr="009F6F3A" w:rsidRDefault="00434693" w:rsidP="00D7542B">
      <w:pPr>
        <w:ind w:left="720" w:hanging="720"/>
        <w:rPr>
          <w:sz w:val="20"/>
          <w:szCs w:val="20"/>
        </w:rPr>
      </w:pPr>
      <w:r w:rsidRPr="009F6F3A">
        <w:rPr>
          <w:sz w:val="20"/>
          <w:szCs w:val="20"/>
        </w:rPr>
        <w:fldChar w:fldCharType="begin">
          <w:ffData>
            <w:name w:val="Check10"/>
            <w:enabled/>
            <w:calcOnExit w:val="0"/>
            <w:checkBox>
              <w:sizeAuto/>
              <w:default w:val="0"/>
            </w:checkBox>
          </w:ffData>
        </w:fldChar>
      </w:r>
      <w:r w:rsidRPr="009F6F3A">
        <w:rPr>
          <w:sz w:val="20"/>
          <w:szCs w:val="20"/>
        </w:rPr>
        <w:instrText xml:space="preserve"> FORMCHECKBOX </w:instrText>
      </w:r>
      <w:r w:rsidR="00781BF8">
        <w:rPr>
          <w:sz w:val="20"/>
          <w:szCs w:val="20"/>
        </w:rPr>
      </w:r>
      <w:r w:rsidR="00781BF8">
        <w:rPr>
          <w:sz w:val="20"/>
          <w:szCs w:val="20"/>
        </w:rPr>
        <w:fldChar w:fldCharType="separate"/>
      </w:r>
      <w:r w:rsidRPr="009F6F3A">
        <w:rPr>
          <w:sz w:val="20"/>
          <w:szCs w:val="20"/>
        </w:rPr>
        <w:fldChar w:fldCharType="end"/>
      </w:r>
      <w:r w:rsidRPr="009F6F3A">
        <w:rPr>
          <w:sz w:val="20"/>
          <w:szCs w:val="20"/>
        </w:rPr>
        <w:tab/>
      </w:r>
      <w:r w:rsidRPr="00D7542B">
        <w:rPr>
          <w:sz w:val="20"/>
          <w:szCs w:val="20"/>
        </w:rPr>
        <w:t>Signed Price Schedule (use template in Attachment A) if different from the specification given in the attachment A, bidder must provide full detail and specification on their official letter.</w:t>
      </w:r>
      <w:r>
        <w:rPr>
          <w:sz w:val="20"/>
          <w:szCs w:val="20"/>
        </w:rPr>
        <w:t xml:space="preserve"> </w:t>
      </w:r>
    </w:p>
    <w:p w14:paraId="62ECB062" w14:textId="77777777" w:rsidR="00434693" w:rsidRPr="009F6F3A" w:rsidRDefault="00434693" w:rsidP="00434693">
      <w:pPr>
        <w:rPr>
          <w:sz w:val="20"/>
          <w:szCs w:val="20"/>
        </w:rPr>
      </w:pPr>
      <w:r w:rsidRPr="009F6F3A">
        <w:rPr>
          <w:sz w:val="20"/>
          <w:szCs w:val="20"/>
        </w:rPr>
        <w:fldChar w:fldCharType="begin">
          <w:ffData>
            <w:name w:val="Check9"/>
            <w:enabled/>
            <w:calcOnExit w:val="0"/>
            <w:checkBox>
              <w:sizeAuto/>
              <w:default w:val="0"/>
            </w:checkBox>
          </w:ffData>
        </w:fldChar>
      </w:r>
      <w:r w:rsidRPr="009F6F3A">
        <w:rPr>
          <w:sz w:val="20"/>
          <w:szCs w:val="20"/>
        </w:rPr>
        <w:instrText xml:space="preserve"> FORMCHECKBOX </w:instrText>
      </w:r>
      <w:r w:rsidR="00781BF8">
        <w:rPr>
          <w:sz w:val="20"/>
          <w:szCs w:val="20"/>
        </w:rPr>
      </w:r>
      <w:r w:rsidR="00781BF8">
        <w:rPr>
          <w:sz w:val="20"/>
          <w:szCs w:val="20"/>
        </w:rPr>
        <w:fldChar w:fldCharType="separate"/>
      </w:r>
      <w:r w:rsidRPr="009F6F3A">
        <w:rPr>
          <w:sz w:val="20"/>
          <w:szCs w:val="20"/>
        </w:rPr>
        <w:fldChar w:fldCharType="end"/>
      </w:r>
      <w:r>
        <w:rPr>
          <w:sz w:val="20"/>
          <w:szCs w:val="20"/>
        </w:rPr>
        <w:tab/>
        <w:t xml:space="preserve">Copy of current and valid business </w:t>
      </w:r>
      <w:r w:rsidRPr="009F6F3A">
        <w:rPr>
          <w:sz w:val="20"/>
          <w:szCs w:val="20"/>
        </w:rPr>
        <w:t xml:space="preserve">license </w:t>
      </w:r>
      <w:r>
        <w:rPr>
          <w:sz w:val="20"/>
          <w:szCs w:val="20"/>
        </w:rPr>
        <w:t>from Ministry of Commerce and Industry to operate.</w:t>
      </w:r>
    </w:p>
    <w:p w14:paraId="2D37947E" w14:textId="77777777" w:rsidR="00434693" w:rsidRPr="009F6F3A" w:rsidRDefault="00434693" w:rsidP="00434693">
      <w:pPr>
        <w:rPr>
          <w:sz w:val="20"/>
          <w:szCs w:val="20"/>
        </w:rPr>
      </w:pPr>
      <w:r w:rsidRPr="009F6F3A">
        <w:rPr>
          <w:sz w:val="20"/>
          <w:szCs w:val="20"/>
        </w:rPr>
        <w:fldChar w:fldCharType="begin">
          <w:ffData>
            <w:name w:val="Check6"/>
            <w:enabled/>
            <w:calcOnExit w:val="0"/>
            <w:checkBox>
              <w:sizeAuto/>
              <w:default w:val="0"/>
            </w:checkBox>
          </w:ffData>
        </w:fldChar>
      </w:r>
      <w:r w:rsidRPr="009F6F3A">
        <w:rPr>
          <w:sz w:val="20"/>
          <w:szCs w:val="20"/>
        </w:rPr>
        <w:instrText xml:space="preserve"> FORMCHECKBOX </w:instrText>
      </w:r>
      <w:r w:rsidR="00781BF8">
        <w:rPr>
          <w:sz w:val="20"/>
          <w:szCs w:val="20"/>
        </w:rPr>
      </w:r>
      <w:r w:rsidR="00781BF8">
        <w:rPr>
          <w:sz w:val="20"/>
          <w:szCs w:val="20"/>
        </w:rPr>
        <w:fldChar w:fldCharType="separate"/>
      </w:r>
      <w:r w:rsidRPr="009F6F3A">
        <w:rPr>
          <w:sz w:val="20"/>
          <w:szCs w:val="20"/>
        </w:rPr>
        <w:fldChar w:fldCharType="end"/>
      </w:r>
      <w:r w:rsidRPr="009F6F3A">
        <w:rPr>
          <w:sz w:val="20"/>
          <w:szCs w:val="20"/>
        </w:rPr>
        <w:tab/>
        <w:t>Evidence of a DUNS Number, if applicable</w:t>
      </w:r>
    </w:p>
    <w:p w14:paraId="48486709" w14:textId="58A63BF9" w:rsidR="00434693" w:rsidRPr="009F6F3A" w:rsidRDefault="00434693" w:rsidP="00434693">
      <w:pPr>
        <w:rPr>
          <w:sz w:val="20"/>
          <w:szCs w:val="20"/>
        </w:rPr>
      </w:pPr>
      <w:r w:rsidRPr="009F6F3A">
        <w:rPr>
          <w:sz w:val="20"/>
          <w:szCs w:val="20"/>
        </w:rPr>
        <w:fldChar w:fldCharType="begin">
          <w:ffData>
            <w:name w:val="Check6"/>
            <w:enabled/>
            <w:calcOnExit w:val="0"/>
            <w:checkBox>
              <w:sizeAuto/>
              <w:default w:val="0"/>
            </w:checkBox>
          </w:ffData>
        </w:fldChar>
      </w:r>
      <w:r w:rsidRPr="009F6F3A">
        <w:rPr>
          <w:sz w:val="20"/>
          <w:szCs w:val="20"/>
        </w:rPr>
        <w:instrText xml:space="preserve"> FORMCHECKBOX </w:instrText>
      </w:r>
      <w:r w:rsidR="00781BF8">
        <w:rPr>
          <w:sz w:val="20"/>
          <w:szCs w:val="20"/>
        </w:rPr>
      </w:r>
      <w:r w:rsidR="00781BF8">
        <w:rPr>
          <w:sz w:val="20"/>
          <w:szCs w:val="20"/>
        </w:rPr>
        <w:fldChar w:fldCharType="separate"/>
      </w:r>
      <w:r w:rsidRPr="009F6F3A">
        <w:rPr>
          <w:sz w:val="20"/>
          <w:szCs w:val="20"/>
        </w:rPr>
        <w:fldChar w:fldCharType="end"/>
      </w:r>
      <w:r w:rsidR="00E91AFC">
        <w:rPr>
          <w:sz w:val="20"/>
          <w:szCs w:val="20"/>
        </w:rPr>
        <w:tab/>
        <w:t>Attachment C</w:t>
      </w:r>
      <w:r w:rsidRPr="009F6F3A">
        <w:rPr>
          <w:sz w:val="20"/>
          <w:szCs w:val="20"/>
        </w:rPr>
        <w:t>: Past Performance Chart</w:t>
      </w:r>
    </w:p>
    <w:p w14:paraId="1CA5A621" w14:textId="77777777" w:rsidR="00434693" w:rsidRPr="008C5B96" w:rsidRDefault="00434693" w:rsidP="00434693"/>
    <w:p w14:paraId="19E2FC02" w14:textId="77777777" w:rsidR="00434693" w:rsidRPr="00470FFB" w:rsidRDefault="00434693" w:rsidP="00434693"/>
    <w:p w14:paraId="33EA9F29" w14:textId="77777777" w:rsidR="00434693" w:rsidRPr="000C758A" w:rsidRDefault="00434693" w:rsidP="00434693">
      <w:pPr>
        <w:rPr>
          <w:sz w:val="20"/>
          <w:szCs w:val="20"/>
        </w:rPr>
      </w:pPr>
    </w:p>
    <w:p w14:paraId="2213A8CD" w14:textId="77777777" w:rsidR="00511C7F" w:rsidRPr="00F15731" w:rsidRDefault="00511C7F" w:rsidP="00434693">
      <w:pPr>
        <w:rPr>
          <w:rFonts w:asciiTheme="minorHAnsi" w:hAnsiTheme="minorHAnsi"/>
        </w:rPr>
      </w:pPr>
    </w:p>
    <w:sectPr w:rsidR="00511C7F" w:rsidRPr="00F15731" w:rsidSect="00434693">
      <w:pgSz w:w="12240" w:h="15840" w:code="1"/>
      <w:pgMar w:top="993" w:right="1440" w:bottom="11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78CF3" w14:textId="77777777" w:rsidR="00781BF8" w:rsidRDefault="00781BF8">
      <w:r>
        <w:separator/>
      </w:r>
    </w:p>
  </w:endnote>
  <w:endnote w:type="continuationSeparator" w:id="0">
    <w:p w14:paraId="77E5B896" w14:textId="77777777" w:rsidR="00781BF8" w:rsidRDefault="00781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BE8CB" w14:textId="77777777" w:rsidR="00781BF8" w:rsidRDefault="00781BF8">
      <w:r>
        <w:separator/>
      </w:r>
    </w:p>
  </w:footnote>
  <w:footnote w:type="continuationSeparator" w:id="0">
    <w:p w14:paraId="0584F0F0" w14:textId="77777777" w:rsidR="00781BF8" w:rsidRDefault="00781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E1B44" w14:textId="77777777" w:rsidR="00AF723F" w:rsidRPr="009B212F" w:rsidRDefault="00AF723F" w:rsidP="009B21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1CE6"/>
    <w:multiLevelType w:val="hybridMultilevel"/>
    <w:tmpl w:val="3CE8F25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C600E4"/>
    <w:multiLevelType w:val="hybridMultilevel"/>
    <w:tmpl w:val="C5888E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C4EC4"/>
    <w:multiLevelType w:val="hybridMultilevel"/>
    <w:tmpl w:val="54489ED8"/>
    <w:lvl w:ilvl="0" w:tplc="9FB20C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FD171C"/>
    <w:multiLevelType w:val="hybridMultilevel"/>
    <w:tmpl w:val="8E0270F6"/>
    <w:lvl w:ilvl="0" w:tplc="63BA50CC">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02132"/>
    <w:multiLevelType w:val="hybridMultilevel"/>
    <w:tmpl w:val="98AA5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A2D73"/>
    <w:multiLevelType w:val="hybridMultilevel"/>
    <w:tmpl w:val="CDA254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595C8B"/>
    <w:multiLevelType w:val="hybridMultilevel"/>
    <w:tmpl w:val="1842E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F586A"/>
    <w:multiLevelType w:val="hybridMultilevel"/>
    <w:tmpl w:val="150CDF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B90A48"/>
    <w:multiLevelType w:val="hybridMultilevel"/>
    <w:tmpl w:val="4B2E9A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F20E8A"/>
    <w:multiLevelType w:val="hybridMultilevel"/>
    <w:tmpl w:val="64A478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EE274AB"/>
    <w:multiLevelType w:val="hybridMultilevel"/>
    <w:tmpl w:val="0D9C8C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B7446A"/>
    <w:multiLevelType w:val="hybridMultilevel"/>
    <w:tmpl w:val="C65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765949"/>
    <w:multiLevelType w:val="hybridMultilevel"/>
    <w:tmpl w:val="C106BFC6"/>
    <w:lvl w:ilvl="0" w:tplc="8B2A43F6">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710448"/>
    <w:multiLevelType w:val="hybridMultilevel"/>
    <w:tmpl w:val="C2920DC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2717918"/>
    <w:multiLevelType w:val="hybridMultilevel"/>
    <w:tmpl w:val="ACE454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DF4011"/>
    <w:multiLevelType w:val="hybridMultilevel"/>
    <w:tmpl w:val="A2227C02"/>
    <w:lvl w:ilvl="0" w:tplc="1DDA7A8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65F39B3"/>
    <w:multiLevelType w:val="hybridMultilevel"/>
    <w:tmpl w:val="DC2CFC58"/>
    <w:lvl w:ilvl="0" w:tplc="717C349C">
      <w:start w:val="1"/>
      <w:numFmt w:val="decimal"/>
      <w:lvlText w:val="%1."/>
      <w:lvlJc w:val="left"/>
      <w:pPr>
        <w:ind w:left="720" w:hanging="360"/>
      </w:pPr>
      <w:rPr>
        <w:rFonts w:hint="default"/>
        <w:b/>
        <w:bCs w:val="0"/>
        <w:i/>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3569A4"/>
    <w:multiLevelType w:val="multilevel"/>
    <w:tmpl w:val="97F89C2E"/>
    <w:lvl w:ilvl="0">
      <w:start w:val="1"/>
      <w:numFmt w:val="decimal"/>
      <w:pStyle w:val="Heading1"/>
      <w:lvlText w:val="%1."/>
      <w:lvlJc w:val="left"/>
      <w:pPr>
        <w:ind w:left="360" w:hanging="360"/>
      </w:pPr>
    </w:lvl>
    <w:lvl w:ilvl="1">
      <w:start w:val="1"/>
      <w:numFmt w:val="decimal"/>
      <w:pStyle w:val="Heading2"/>
      <w:lvlText w:val="%1.%2"/>
      <w:lvlJc w:val="left"/>
      <w:pPr>
        <w:ind w:left="576" w:hanging="576"/>
      </w:pPr>
      <w:rPr>
        <w:i w:val="0"/>
        <w:iCs/>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2A6F2371"/>
    <w:multiLevelType w:val="hybridMultilevel"/>
    <w:tmpl w:val="8E70E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3011B9"/>
    <w:multiLevelType w:val="hybridMultilevel"/>
    <w:tmpl w:val="53BE04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CF82BE2"/>
    <w:multiLevelType w:val="hybridMultilevel"/>
    <w:tmpl w:val="526A3B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255A25"/>
    <w:multiLevelType w:val="hybridMultilevel"/>
    <w:tmpl w:val="04AEC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741CE8"/>
    <w:multiLevelType w:val="hybridMultilevel"/>
    <w:tmpl w:val="98AA5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370E88"/>
    <w:multiLevelType w:val="hybridMultilevel"/>
    <w:tmpl w:val="3AAE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327ED5"/>
    <w:multiLevelType w:val="hybridMultilevel"/>
    <w:tmpl w:val="099E4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B54190"/>
    <w:multiLevelType w:val="hybridMultilevel"/>
    <w:tmpl w:val="D430C4D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72C4B82"/>
    <w:multiLevelType w:val="hybridMultilevel"/>
    <w:tmpl w:val="1842E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7"/>
  </w:num>
  <w:num w:numId="4">
    <w:abstractNumId w:val="16"/>
  </w:num>
  <w:num w:numId="5">
    <w:abstractNumId w:val="20"/>
  </w:num>
  <w:num w:numId="6">
    <w:abstractNumId w:val="11"/>
  </w:num>
  <w:num w:numId="7">
    <w:abstractNumId w:val="22"/>
  </w:num>
  <w:num w:numId="8">
    <w:abstractNumId w:val="13"/>
  </w:num>
  <w:num w:numId="9">
    <w:abstractNumId w:val="5"/>
  </w:num>
  <w:num w:numId="10">
    <w:abstractNumId w:val="18"/>
  </w:num>
  <w:num w:numId="11">
    <w:abstractNumId w:val="19"/>
  </w:num>
  <w:num w:numId="12">
    <w:abstractNumId w:val="17"/>
  </w:num>
  <w:num w:numId="13">
    <w:abstractNumId w:val="24"/>
  </w:num>
  <w:num w:numId="14">
    <w:abstractNumId w:val="17"/>
  </w:num>
  <w:num w:numId="15">
    <w:abstractNumId w:val="4"/>
  </w:num>
  <w:num w:numId="16">
    <w:abstractNumId w:val="2"/>
  </w:num>
  <w:num w:numId="17">
    <w:abstractNumId w:val="17"/>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1"/>
  </w:num>
  <w:num w:numId="21">
    <w:abstractNumId w:val="21"/>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5"/>
  </w:num>
  <w:num w:numId="25">
    <w:abstractNumId w:val="3"/>
  </w:num>
  <w:num w:numId="26">
    <w:abstractNumId w:val="6"/>
  </w:num>
  <w:num w:numId="27">
    <w:abstractNumId w:val="23"/>
  </w:num>
  <w:num w:numId="28">
    <w:abstractNumId w:val="26"/>
  </w:num>
  <w:num w:numId="29">
    <w:abstractNumId w:val="1"/>
  </w:num>
  <w:num w:numId="30">
    <w:abstractNumId w:val="14"/>
  </w:num>
  <w:num w:numId="31">
    <w:abstractNumId w:val="17"/>
  </w:num>
  <w:num w:numId="32">
    <w:abstractNumId w:val="17"/>
  </w:num>
  <w:num w:numId="33">
    <w:abstractNumId w:val="17"/>
  </w:num>
  <w:num w:numId="34">
    <w:abstractNumId w:val="17"/>
  </w:num>
  <w:num w:numId="35">
    <w:abstractNumId w:val="17"/>
  </w:num>
  <w:num w:numId="36">
    <w:abstractNumId w:val="10"/>
  </w:num>
  <w:num w:numId="37">
    <w:abstractNumId w:val="7"/>
  </w:num>
  <w:num w:numId="38">
    <w:abstractNumId w:val="12"/>
  </w:num>
  <w:num w:numId="39">
    <w:abstractNumId w:val="17"/>
  </w:num>
  <w:num w:numId="40">
    <w:abstractNumId w:val="17"/>
  </w:num>
  <w:num w:numId="41">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7CC"/>
    <w:rsid w:val="0000045F"/>
    <w:rsid w:val="00001905"/>
    <w:rsid w:val="000120D3"/>
    <w:rsid w:val="00014835"/>
    <w:rsid w:val="00022985"/>
    <w:rsid w:val="000245BC"/>
    <w:rsid w:val="00026C2C"/>
    <w:rsid w:val="00030072"/>
    <w:rsid w:val="000304A5"/>
    <w:rsid w:val="000306EB"/>
    <w:rsid w:val="00032303"/>
    <w:rsid w:val="000416E5"/>
    <w:rsid w:val="00043CD4"/>
    <w:rsid w:val="00045D80"/>
    <w:rsid w:val="000468F1"/>
    <w:rsid w:val="0004760E"/>
    <w:rsid w:val="00047694"/>
    <w:rsid w:val="0005116C"/>
    <w:rsid w:val="00051543"/>
    <w:rsid w:val="0005542B"/>
    <w:rsid w:val="00055B5D"/>
    <w:rsid w:val="00060BA8"/>
    <w:rsid w:val="00063233"/>
    <w:rsid w:val="00065EAE"/>
    <w:rsid w:val="00070AC3"/>
    <w:rsid w:val="000722C4"/>
    <w:rsid w:val="00081A64"/>
    <w:rsid w:val="00081FFB"/>
    <w:rsid w:val="00084FDD"/>
    <w:rsid w:val="0009085C"/>
    <w:rsid w:val="000915EB"/>
    <w:rsid w:val="00091B88"/>
    <w:rsid w:val="000A21FD"/>
    <w:rsid w:val="000A5553"/>
    <w:rsid w:val="000A5C1E"/>
    <w:rsid w:val="000A6C06"/>
    <w:rsid w:val="000A7DCB"/>
    <w:rsid w:val="000B12B7"/>
    <w:rsid w:val="000B51C0"/>
    <w:rsid w:val="000B55B2"/>
    <w:rsid w:val="000B58E9"/>
    <w:rsid w:val="000B5CEC"/>
    <w:rsid w:val="000B5E69"/>
    <w:rsid w:val="000B6BA9"/>
    <w:rsid w:val="000B7E4C"/>
    <w:rsid w:val="000C0BC2"/>
    <w:rsid w:val="000C230A"/>
    <w:rsid w:val="000C554C"/>
    <w:rsid w:val="000C690D"/>
    <w:rsid w:val="000D0C2D"/>
    <w:rsid w:val="000D13D1"/>
    <w:rsid w:val="000D24B7"/>
    <w:rsid w:val="000D2AE8"/>
    <w:rsid w:val="000D5EB3"/>
    <w:rsid w:val="000E2218"/>
    <w:rsid w:val="000E287B"/>
    <w:rsid w:val="000E2D7D"/>
    <w:rsid w:val="000E430A"/>
    <w:rsid w:val="000E5AC7"/>
    <w:rsid w:val="000E6832"/>
    <w:rsid w:val="000E6D3D"/>
    <w:rsid w:val="000F105F"/>
    <w:rsid w:val="000F1332"/>
    <w:rsid w:val="000F1E77"/>
    <w:rsid w:val="000F2024"/>
    <w:rsid w:val="000F3AFC"/>
    <w:rsid w:val="000F3B5C"/>
    <w:rsid w:val="000F501A"/>
    <w:rsid w:val="00106C68"/>
    <w:rsid w:val="00107150"/>
    <w:rsid w:val="001074DD"/>
    <w:rsid w:val="00111017"/>
    <w:rsid w:val="00112D2F"/>
    <w:rsid w:val="0011450B"/>
    <w:rsid w:val="00127D80"/>
    <w:rsid w:val="00131051"/>
    <w:rsid w:val="001323B1"/>
    <w:rsid w:val="00134146"/>
    <w:rsid w:val="00134C3B"/>
    <w:rsid w:val="001358A7"/>
    <w:rsid w:val="00137B03"/>
    <w:rsid w:val="0014020E"/>
    <w:rsid w:val="00140C37"/>
    <w:rsid w:val="00141327"/>
    <w:rsid w:val="001478F7"/>
    <w:rsid w:val="00147A26"/>
    <w:rsid w:val="0015073F"/>
    <w:rsid w:val="00150B01"/>
    <w:rsid w:val="00151DA7"/>
    <w:rsid w:val="00154197"/>
    <w:rsid w:val="00154500"/>
    <w:rsid w:val="001547A1"/>
    <w:rsid w:val="00160E72"/>
    <w:rsid w:val="0016459F"/>
    <w:rsid w:val="0016546E"/>
    <w:rsid w:val="0016562A"/>
    <w:rsid w:val="00165A09"/>
    <w:rsid w:val="001725F2"/>
    <w:rsid w:val="001749AD"/>
    <w:rsid w:val="001760FD"/>
    <w:rsid w:val="0018111B"/>
    <w:rsid w:val="0018177A"/>
    <w:rsid w:val="00181BCE"/>
    <w:rsid w:val="00182518"/>
    <w:rsid w:val="00184CF0"/>
    <w:rsid w:val="001866AD"/>
    <w:rsid w:val="00186F94"/>
    <w:rsid w:val="00187153"/>
    <w:rsid w:val="00190209"/>
    <w:rsid w:val="0019084F"/>
    <w:rsid w:val="00193668"/>
    <w:rsid w:val="00197171"/>
    <w:rsid w:val="001A1BEC"/>
    <w:rsid w:val="001A5668"/>
    <w:rsid w:val="001A63D8"/>
    <w:rsid w:val="001B0FC5"/>
    <w:rsid w:val="001C1B2F"/>
    <w:rsid w:val="001C26BE"/>
    <w:rsid w:val="001C4DAB"/>
    <w:rsid w:val="001C51FB"/>
    <w:rsid w:val="001C5AFB"/>
    <w:rsid w:val="001C671C"/>
    <w:rsid w:val="001D3A66"/>
    <w:rsid w:val="001D7F62"/>
    <w:rsid w:val="001E0764"/>
    <w:rsid w:val="001E1BB4"/>
    <w:rsid w:val="001E1E9F"/>
    <w:rsid w:val="001E474B"/>
    <w:rsid w:val="001E4B6E"/>
    <w:rsid w:val="001E4EB9"/>
    <w:rsid w:val="001F0B86"/>
    <w:rsid w:val="001F1663"/>
    <w:rsid w:val="001F6492"/>
    <w:rsid w:val="00200DE1"/>
    <w:rsid w:val="00201E95"/>
    <w:rsid w:val="00203637"/>
    <w:rsid w:val="00204602"/>
    <w:rsid w:val="00204DD0"/>
    <w:rsid w:val="00205526"/>
    <w:rsid w:val="00205E6B"/>
    <w:rsid w:val="0021015C"/>
    <w:rsid w:val="00212F11"/>
    <w:rsid w:val="00214E11"/>
    <w:rsid w:val="00217E8C"/>
    <w:rsid w:val="0022077E"/>
    <w:rsid w:val="0022382F"/>
    <w:rsid w:val="0022621B"/>
    <w:rsid w:val="0023003E"/>
    <w:rsid w:val="00232A08"/>
    <w:rsid w:val="002465CF"/>
    <w:rsid w:val="0024787E"/>
    <w:rsid w:val="00261CAE"/>
    <w:rsid w:val="00263DD4"/>
    <w:rsid w:val="002641C7"/>
    <w:rsid w:val="0026612F"/>
    <w:rsid w:val="00271501"/>
    <w:rsid w:val="00271A8B"/>
    <w:rsid w:val="00274F06"/>
    <w:rsid w:val="002770BD"/>
    <w:rsid w:val="0028510B"/>
    <w:rsid w:val="00286A08"/>
    <w:rsid w:val="00287BA8"/>
    <w:rsid w:val="00287EB1"/>
    <w:rsid w:val="00287F30"/>
    <w:rsid w:val="00297676"/>
    <w:rsid w:val="002979BB"/>
    <w:rsid w:val="002A29EE"/>
    <w:rsid w:val="002A3E56"/>
    <w:rsid w:val="002A6A7A"/>
    <w:rsid w:val="002B25C6"/>
    <w:rsid w:val="002C0C24"/>
    <w:rsid w:val="002C16BC"/>
    <w:rsid w:val="002C1FD0"/>
    <w:rsid w:val="002C58C7"/>
    <w:rsid w:val="002C6ADA"/>
    <w:rsid w:val="002D3B50"/>
    <w:rsid w:val="002D5919"/>
    <w:rsid w:val="002D5F53"/>
    <w:rsid w:val="002E0005"/>
    <w:rsid w:val="002E160C"/>
    <w:rsid w:val="002E51D5"/>
    <w:rsid w:val="002E6A06"/>
    <w:rsid w:val="002F3F89"/>
    <w:rsid w:val="002F71BB"/>
    <w:rsid w:val="003002AF"/>
    <w:rsid w:val="00300421"/>
    <w:rsid w:val="0030178C"/>
    <w:rsid w:val="0030233A"/>
    <w:rsid w:val="0030675F"/>
    <w:rsid w:val="00307072"/>
    <w:rsid w:val="00307FD7"/>
    <w:rsid w:val="0031080B"/>
    <w:rsid w:val="00310880"/>
    <w:rsid w:val="003108DB"/>
    <w:rsid w:val="00311762"/>
    <w:rsid w:val="0031237B"/>
    <w:rsid w:val="003124F4"/>
    <w:rsid w:val="00312791"/>
    <w:rsid w:val="0031435B"/>
    <w:rsid w:val="003149FF"/>
    <w:rsid w:val="00314E4B"/>
    <w:rsid w:val="0031579F"/>
    <w:rsid w:val="00317461"/>
    <w:rsid w:val="00317802"/>
    <w:rsid w:val="0032238C"/>
    <w:rsid w:val="003224EF"/>
    <w:rsid w:val="003307CC"/>
    <w:rsid w:val="00332499"/>
    <w:rsid w:val="003347CE"/>
    <w:rsid w:val="003358C9"/>
    <w:rsid w:val="00336425"/>
    <w:rsid w:val="00336D1E"/>
    <w:rsid w:val="003372F8"/>
    <w:rsid w:val="00337F0C"/>
    <w:rsid w:val="003409BF"/>
    <w:rsid w:val="00340F28"/>
    <w:rsid w:val="003416CF"/>
    <w:rsid w:val="0034492A"/>
    <w:rsid w:val="00347834"/>
    <w:rsid w:val="00347940"/>
    <w:rsid w:val="00347A80"/>
    <w:rsid w:val="003503F4"/>
    <w:rsid w:val="003558A1"/>
    <w:rsid w:val="003558C0"/>
    <w:rsid w:val="00355AB6"/>
    <w:rsid w:val="00356248"/>
    <w:rsid w:val="00356950"/>
    <w:rsid w:val="00356AD8"/>
    <w:rsid w:val="0035793C"/>
    <w:rsid w:val="003634E1"/>
    <w:rsid w:val="00363CDA"/>
    <w:rsid w:val="0036461B"/>
    <w:rsid w:val="0036561E"/>
    <w:rsid w:val="00367662"/>
    <w:rsid w:val="003677AF"/>
    <w:rsid w:val="00370B14"/>
    <w:rsid w:val="00372477"/>
    <w:rsid w:val="003726B6"/>
    <w:rsid w:val="003733D4"/>
    <w:rsid w:val="00373952"/>
    <w:rsid w:val="00375C17"/>
    <w:rsid w:val="00380B8E"/>
    <w:rsid w:val="00381AD0"/>
    <w:rsid w:val="00383176"/>
    <w:rsid w:val="00384F89"/>
    <w:rsid w:val="003964CD"/>
    <w:rsid w:val="003A4067"/>
    <w:rsid w:val="003B02FC"/>
    <w:rsid w:val="003B094C"/>
    <w:rsid w:val="003B3FF2"/>
    <w:rsid w:val="003B7343"/>
    <w:rsid w:val="003C253D"/>
    <w:rsid w:val="003C2C48"/>
    <w:rsid w:val="003C34AC"/>
    <w:rsid w:val="003C48EC"/>
    <w:rsid w:val="003C60A7"/>
    <w:rsid w:val="003C707F"/>
    <w:rsid w:val="003C7DCF"/>
    <w:rsid w:val="003D28CA"/>
    <w:rsid w:val="003D3313"/>
    <w:rsid w:val="003E5B80"/>
    <w:rsid w:val="003E6052"/>
    <w:rsid w:val="003E62A8"/>
    <w:rsid w:val="003F0367"/>
    <w:rsid w:val="003F23B8"/>
    <w:rsid w:val="003F6C37"/>
    <w:rsid w:val="004015F5"/>
    <w:rsid w:val="00401838"/>
    <w:rsid w:val="00404C65"/>
    <w:rsid w:val="00405120"/>
    <w:rsid w:val="004073AF"/>
    <w:rsid w:val="0040798E"/>
    <w:rsid w:val="00413B80"/>
    <w:rsid w:val="00414C06"/>
    <w:rsid w:val="00416303"/>
    <w:rsid w:val="004209BE"/>
    <w:rsid w:val="00430947"/>
    <w:rsid w:val="004310D3"/>
    <w:rsid w:val="00432795"/>
    <w:rsid w:val="00434693"/>
    <w:rsid w:val="00436E85"/>
    <w:rsid w:val="00440E87"/>
    <w:rsid w:val="00453487"/>
    <w:rsid w:val="0045693A"/>
    <w:rsid w:val="00456AAC"/>
    <w:rsid w:val="004635B7"/>
    <w:rsid w:val="00463907"/>
    <w:rsid w:val="00466377"/>
    <w:rsid w:val="004701ED"/>
    <w:rsid w:val="00474563"/>
    <w:rsid w:val="00475565"/>
    <w:rsid w:val="00475F20"/>
    <w:rsid w:val="00477B6D"/>
    <w:rsid w:val="00480F26"/>
    <w:rsid w:val="00481CC5"/>
    <w:rsid w:val="00483D67"/>
    <w:rsid w:val="0048415C"/>
    <w:rsid w:val="004843B8"/>
    <w:rsid w:val="004850EF"/>
    <w:rsid w:val="004858BD"/>
    <w:rsid w:val="0048676B"/>
    <w:rsid w:val="00487693"/>
    <w:rsid w:val="00490011"/>
    <w:rsid w:val="0049140E"/>
    <w:rsid w:val="00493FAA"/>
    <w:rsid w:val="00494F0F"/>
    <w:rsid w:val="00497AE2"/>
    <w:rsid w:val="004A03D1"/>
    <w:rsid w:val="004A1FE0"/>
    <w:rsid w:val="004A26F3"/>
    <w:rsid w:val="004A3170"/>
    <w:rsid w:val="004A500B"/>
    <w:rsid w:val="004A5F97"/>
    <w:rsid w:val="004A6271"/>
    <w:rsid w:val="004B02BA"/>
    <w:rsid w:val="004B2076"/>
    <w:rsid w:val="004B28CE"/>
    <w:rsid w:val="004B33E1"/>
    <w:rsid w:val="004B4A62"/>
    <w:rsid w:val="004B4C8F"/>
    <w:rsid w:val="004B5C01"/>
    <w:rsid w:val="004B6A8E"/>
    <w:rsid w:val="004C08D7"/>
    <w:rsid w:val="004C1512"/>
    <w:rsid w:val="004C20E2"/>
    <w:rsid w:val="004C4368"/>
    <w:rsid w:val="004C5B91"/>
    <w:rsid w:val="004C5F59"/>
    <w:rsid w:val="004D3AAD"/>
    <w:rsid w:val="004F1695"/>
    <w:rsid w:val="004F4FC8"/>
    <w:rsid w:val="00500A0E"/>
    <w:rsid w:val="0050241D"/>
    <w:rsid w:val="00503D29"/>
    <w:rsid w:val="005046B5"/>
    <w:rsid w:val="00505E3D"/>
    <w:rsid w:val="005069AF"/>
    <w:rsid w:val="00511810"/>
    <w:rsid w:val="00511B6D"/>
    <w:rsid w:val="00511C7F"/>
    <w:rsid w:val="00516078"/>
    <w:rsid w:val="005160E0"/>
    <w:rsid w:val="00517A51"/>
    <w:rsid w:val="00526F65"/>
    <w:rsid w:val="005270E6"/>
    <w:rsid w:val="00530A98"/>
    <w:rsid w:val="00533CCB"/>
    <w:rsid w:val="00535E25"/>
    <w:rsid w:val="00536B5C"/>
    <w:rsid w:val="00537A27"/>
    <w:rsid w:val="00542D52"/>
    <w:rsid w:val="005435BE"/>
    <w:rsid w:val="00544130"/>
    <w:rsid w:val="005460EC"/>
    <w:rsid w:val="005463E5"/>
    <w:rsid w:val="0055494F"/>
    <w:rsid w:val="005569D4"/>
    <w:rsid w:val="0055718E"/>
    <w:rsid w:val="005616BD"/>
    <w:rsid w:val="005622D0"/>
    <w:rsid w:val="00562824"/>
    <w:rsid w:val="005667A4"/>
    <w:rsid w:val="00566EF0"/>
    <w:rsid w:val="0057175C"/>
    <w:rsid w:val="0057712A"/>
    <w:rsid w:val="0058179C"/>
    <w:rsid w:val="00582A5C"/>
    <w:rsid w:val="005846A1"/>
    <w:rsid w:val="00590348"/>
    <w:rsid w:val="005904B6"/>
    <w:rsid w:val="00594A5D"/>
    <w:rsid w:val="00594B82"/>
    <w:rsid w:val="00595999"/>
    <w:rsid w:val="00596DEF"/>
    <w:rsid w:val="005A3914"/>
    <w:rsid w:val="005A62E3"/>
    <w:rsid w:val="005B00C7"/>
    <w:rsid w:val="005B0706"/>
    <w:rsid w:val="005B0CF9"/>
    <w:rsid w:val="005B0F4E"/>
    <w:rsid w:val="005B18A2"/>
    <w:rsid w:val="005B2531"/>
    <w:rsid w:val="005B2AAD"/>
    <w:rsid w:val="005B4F07"/>
    <w:rsid w:val="005B598D"/>
    <w:rsid w:val="005B66FB"/>
    <w:rsid w:val="005B7A43"/>
    <w:rsid w:val="005C0B95"/>
    <w:rsid w:val="005C1A6B"/>
    <w:rsid w:val="005C2920"/>
    <w:rsid w:val="005C2BE3"/>
    <w:rsid w:val="005C4940"/>
    <w:rsid w:val="005C5AC6"/>
    <w:rsid w:val="005C7325"/>
    <w:rsid w:val="005C74B6"/>
    <w:rsid w:val="005D0192"/>
    <w:rsid w:val="005D604C"/>
    <w:rsid w:val="005E1263"/>
    <w:rsid w:val="005E28EC"/>
    <w:rsid w:val="005E3F19"/>
    <w:rsid w:val="005E4364"/>
    <w:rsid w:val="005E7112"/>
    <w:rsid w:val="005F0242"/>
    <w:rsid w:val="005F5553"/>
    <w:rsid w:val="005F59CF"/>
    <w:rsid w:val="005F6810"/>
    <w:rsid w:val="00611911"/>
    <w:rsid w:val="00612477"/>
    <w:rsid w:val="00613698"/>
    <w:rsid w:val="00613A5A"/>
    <w:rsid w:val="0061475E"/>
    <w:rsid w:val="00614B0D"/>
    <w:rsid w:val="006204CB"/>
    <w:rsid w:val="00622716"/>
    <w:rsid w:val="00622C3B"/>
    <w:rsid w:val="00625863"/>
    <w:rsid w:val="00627996"/>
    <w:rsid w:val="00630A6B"/>
    <w:rsid w:val="00631C91"/>
    <w:rsid w:val="00635010"/>
    <w:rsid w:val="00636156"/>
    <w:rsid w:val="00636D5D"/>
    <w:rsid w:val="00637CDA"/>
    <w:rsid w:val="0064112C"/>
    <w:rsid w:val="00641489"/>
    <w:rsid w:val="00641884"/>
    <w:rsid w:val="00641E5E"/>
    <w:rsid w:val="00643B35"/>
    <w:rsid w:val="00644A5E"/>
    <w:rsid w:val="006466ED"/>
    <w:rsid w:val="00651B07"/>
    <w:rsid w:val="00652B3D"/>
    <w:rsid w:val="006534C9"/>
    <w:rsid w:val="00653FF9"/>
    <w:rsid w:val="006550A0"/>
    <w:rsid w:val="00657895"/>
    <w:rsid w:val="006579AC"/>
    <w:rsid w:val="00660385"/>
    <w:rsid w:val="00660BA1"/>
    <w:rsid w:val="0066516C"/>
    <w:rsid w:val="006670D3"/>
    <w:rsid w:val="00667319"/>
    <w:rsid w:val="0066788B"/>
    <w:rsid w:val="00671718"/>
    <w:rsid w:val="00674316"/>
    <w:rsid w:val="0067512D"/>
    <w:rsid w:val="0067781E"/>
    <w:rsid w:val="006802E4"/>
    <w:rsid w:val="0068184F"/>
    <w:rsid w:val="00682DBE"/>
    <w:rsid w:val="0068390D"/>
    <w:rsid w:val="006841D6"/>
    <w:rsid w:val="00684D23"/>
    <w:rsid w:val="00691C95"/>
    <w:rsid w:val="006947B3"/>
    <w:rsid w:val="006A426E"/>
    <w:rsid w:val="006A5A2C"/>
    <w:rsid w:val="006A7F13"/>
    <w:rsid w:val="006B1408"/>
    <w:rsid w:val="006B51B2"/>
    <w:rsid w:val="006B76A2"/>
    <w:rsid w:val="006C0664"/>
    <w:rsid w:val="006C1197"/>
    <w:rsid w:val="006C3002"/>
    <w:rsid w:val="006C531A"/>
    <w:rsid w:val="006D4C6D"/>
    <w:rsid w:val="006D787D"/>
    <w:rsid w:val="006E7F8F"/>
    <w:rsid w:val="006F14DD"/>
    <w:rsid w:val="006F6324"/>
    <w:rsid w:val="006F78BF"/>
    <w:rsid w:val="00701709"/>
    <w:rsid w:val="00701869"/>
    <w:rsid w:val="0070278D"/>
    <w:rsid w:val="00704BA5"/>
    <w:rsid w:val="00705DEC"/>
    <w:rsid w:val="00706B8B"/>
    <w:rsid w:val="0071014D"/>
    <w:rsid w:val="007113CA"/>
    <w:rsid w:val="00713667"/>
    <w:rsid w:val="007137D6"/>
    <w:rsid w:val="007162E1"/>
    <w:rsid w:val="00716579"/>
    <w:rsid w:val="00716792"/>
    <w:rsid w:val="00717737"/>
    <w:rsid w:val="00720430"/>
    <w:rsid w:val="00720682"/>
    <w:rsid w:val="00722B35"/>
    <w:rsid w:val="00724086"/>
    <w:rsid w:val="00724518"/>
    <w:rsid w:val="00724A2F"/>
    <w:rsid w:val="00724F22"/>
    <w:rsid w:val="0072553E"/>
    <w:rsid w:val="00731831"/>
    <w:rsid w:val="00736092"/>
    <w:rsid w:val="00736F74"/>
    <w:rsid w:val="00737F75"/>
    <w:rsid w:val="00742310"/>
    <w:rsid w:val="00744072"/>
    <w:rsid w:val="00744C19"/>
    <w:rsid w:val="00745C53"/>
    <w:rsid w:val="0074684C"/>
    <w:rsid w:val="00747FE3"/>
    <w:rsid w:val="00754D1E"/>
    <w:rsid w:val="00755339"/>
    <w:rsid w:val="00756C64"/>
    <w:rsid w:val="00757505"/>
    <w:rsid w:val="00774B56"/>
    <w:rsid w:val="00780E6F"/>
    <w:rsid w:val="00781BF8"/>
    <w:rsid w:val="00784940"/>
    <w:rsid w:val="0078566C"/>
    <w:rsid w:val="007926F7"/>
    <w:rsid w:val="00793070"/>
    <w:rsid w:val="00794930"/>
    <w:rsid w:val="00794F25"/>
    <w:rsid w:val="00797340"/>
    <w:rsid w:val="007A10A8"/>
    <w:rsid w:val="007A1D1B"/>
    <w:rsid w:val="007A6F4B"/>
    <w:rsid w:val="007A7E87"/>
    <w:rsid w:val="007B1ED5"/>
    <w:rsid w:val="007B4AFA"/>
    <w:rsid w:val="007B56F8"/>
    <w:rsid w:val="007C3D54"/>
    <w:rsid w:val="007C4557"/>
    <w:rsid w:val="007C4784"/>
    <w:rsid w:val="007C4F00"/>
    <w:rsid w:val="007C533B"/>
    <w:rsid w:val="007C5553"/>
    <w:rsid w:val="007D0BB9"/>
    <w:rsid w:val="007D185E"/>
    <w:rsid w:val="007D412F"/>
    <w:rsid w:val="007D607A"/>
    <w:rsid w:val="007E59B3"/>
    <w:rsid w:val="007E7C0D"/>
    <w:rsid w:val="007F5D5A"/>
    <w:rsid w:val="007F667F"/>
    <w:rsid w:val="007F6828"/>
    <w:rsid w:val="00803C2E"/>
    <w:rsid w:val="008057D6"/>
    <w:rsid w:val="00805EFF"/>
    <w:rsid w:val="008064DD"/>
    <w:rsid w:val="008066BE"/>
    <w:rsid w:val="00806DEE"/>
    <w:rsid w:val="00813B38"/>
    <w:rsid w:val="00815C1E"/>
    <w:rsid w:val="008222AC"/>
    <w:rsid w:val="00822880"/>
    <w:rsid w:val="00822F49"/>
    <w:rsid w:val="00823290"/>
    <w:rsid w:val="00824047"/>
    <w:rsid w:val="0082418C"/>
    <w:rsid w:val="00825993"/>
    <w:rsid w:val="008269FE"/>
    <w:rsid w:val="008350B1"/>
    <w:rsid w:val="00836888"/>
    <w:rsid w:val="00836D65"/>
    <w:rsid w:val="00843239"/>
    <w:rsid w:val="0084524F"/>
    <w:rsid w:val="00845513"/>
    <w:rsid w:val="00845D86"/>
    <w:rsid w:val="00846DC0"/>
    <w:rsid w:val="00847FF2"/>
    <w:rsid w:val="00850102"/>
    <w:rsid w:val="008509F5"/>
    <w:rsid w:val="008517DF"/>
    <w:rsid w:val="008538D0"/>
    <w:rsid w:val="008553DC"/>
    <w:rsid w:val="0085611F"/>
    <w:rsid w:val="00857F35"/>
    <w:rsid w:val="00864885"/>
    <w:rsid w:val="0086693C"/>
    <w:rsid w:val="00871BD7"/>
    <w:rsid w:val="00873F07"/>
    <w:rsid w:val="00876309"/>
    <w:rsid w:val="00877007"/>
    <w:rsid w:val="0088093B"/>
    <w:rsid w:val="008831A7"/>
    <w:rsid w:val="0088498E"/>
    <w:rsid w:val="00886936"/>
    <w:rsid w:val="00886EC2"/>
    <w:rsid w:val="0089107A"/>
    <w:rsid w:val="008917F6"/>
    <w:rsid w:val="008A1A65"/>
    <w:rsid w:val="008A5981"/>
    <w:rsid w:val="008A6E80"/>
    <w:rsid w:val="008B0685"/>
    <w:rsid w:val="008B332B"/>
    <w:rsid w:val="008B4907"/>
    <w:rsid w:val="008C0367"/>
    <w:rsid w:val="008C1399"/>
    <w:rsid w:val="008C4DEE"/>
    <w:rsid w:val="008C6412"/>
    <w:rsid w:val="008D0D42"/>
    <w:rsid w:val="008D2593"/>
    <w:rsid w:val="008D25EB"/>
    <w:rsid w:val="008D3518"/>
    <w:rsid w:val="008D55DF"/>
    <w:rsid w:val="008D7679"/>
    <w:rsid w:val="008E4A23"/>
    <w:rsid w:val="008E60A5"/>
    <w:rsid w:val="008F002B"/>
    <w:rsid w:val="008F2FD4"/>
    <w:rsid w:val="008F387F"/>
    <w:rsid w:val="008F4AD6"/>
    <w:rsid w:val="008F57A0"/>
    <w:rsid w:val="008F57FB"/>
    <w:rsid w:val="008F603C"/>
    <w:rsid w:val="008F6E8B"/>
    <w:rsid w:val="009003A5"/>
    <w:rsid w:val="009015CA"/>
    <w:rsid w:val="00905BB8"/>
    <w:rsid w:val="00905F0E"/>
    <w:rsid w:val="0090668B"/>
    <w:rsid w:val="00906A32"/>
    <w:rsid w:val="0090712A"/>
    <w:rsid w:val="009209EA"/>
    <w:rsid w:val="00921D26"/>
    <w:rsid w:val="00921D79"/>
    <w:rsid w:val="009220E0"/>
    <w:rsid w:val="00923CA9"/>
    <w:rsid w:val="00924AB9"/>
    <w:rsid w:val="0092611C"/>
    <w:rsid w:val="009267DF"/>
    <w:rsid w:val="0093070D"/>
    <w:rsid w:val="00930BEB"/>
    <w:rsid w:val="00932EFF"/>
    <w:rsid w:val="0093400F"/>
    <w:rsid w:val="0094141D"/>
    <w:rsid w:val="009426BC"/>
    <w:rsid w:val="00942DF2"/>
    <w:rsid w:val="009443B9"/>
    <w:rsid w:val="009559FB"/>
    <w:rsid w:val="009573F4"/>
    <w:rsid w:val="00960543"/>
    <w:rsid w:val="009623E4"/>
    <w:rsid w:val="0096541B"/>
    <w:rsid w:val="0097335D"/>
    <w:rsid w:val="009734C6"/>
    <w:rsid w:val="009744F5"/>
    <w:rsid w:val="009762EF"/>
    <w:rsid w:val="0098028B"/>
    <w:rsid w:val="00981702"/>
    <w:rsid w:val="00982E53"/>
    <w:rsid w:val="00983B5C"/>
    <w:rsid w:val="009925D2"/>
    <w:rsid w:val="009932D7"/>
    <w:rsid w:val="00993893"/>
    <w:rsid w:val="009954D3"/>
    <w:rsid w:val="00996141"/>
    <w:rsid w:val="00997ECB"/>
    <w:rsid w:val="009A17AA"/>
    <w:rsid w:val="009A4D8C"/>
    <w:rsid w:val="009B212F"/>
    <w:rsid w:val="009B31D3"/>
    <w:rsid w:val="009B3615"/>
    <w:rsid w:val="009B710C"/>
    <w:rsid w:val="009C072E"/>
    <w:rsid w:val="009C4A64"/>
    <w:rsid w:val="009C708A"/>
    <w:rsid w:val="009D34AC"/>
    <w:rsid w:val="009E2D84"/>
    <w:rsid w:val="009E487A"/>
    <w:rsid w:val="009E6C6C"/>
    <w:rsid w:val="009F16F3"/>
    <w:rsid w:val="009F36F4"/>
    <w:rsid w:val="009F79C4"/>
    <w:rsid w:val="00A00B50"/>
    <w:rsid w:val="00A024C8"/>
    <w:rsid w:val="00A02D9F"/>
    <w:rsid w:val="00A10416"/>
    <w:rsid w:val="00A136FD"/>
    <w:rsid w:val="00A15885"/>
    <w:rsid w:val="00A1796A"/>
    <w:rsid w:val="00A17F87"/>
    <w:rsid w:val="00A209CF"/>
    <w:rsid w:val="00A234F4"/>
    <w:rsid w:val="00A27CCA"/>
    <w:rsid w:val="00A315CB"/>
    <w:rsid w:val="00A320A8"/>
    <w:rsid w:val="00A33487"/>
    <w:rsid w:val="00A334FB"/>
    <w:rsid w:val="00A3485F"/>
    <w:rsid w:val="00A422F0"/>
    <w:rsid w:val="00A44FA6"/>
    <w:rsid w:val="00A45903"/>
    <w:rsid w:val="00A50079"/>
    <w:rsid w:val="00A5172A"/>
    <w:rsid w:val="00A54092"/>
    <w:rsid w:val="00A556F2"/>
    <w:rsid w:val="00A55D2E"/>
    <w:rsid w:val="00A5601F"/>
    <w:rsid w:val="00A60FC5"/>
    <w:rsid w:val="00A6162C"/>
    <w:rsid w:val="00A7026D"/>
    <w:rsid w:val="00A74E9E"/>
    <w:rsid w:val="00A77813"/>
    <w:rsid w:val="00A80EB9"/>
    <w:rsid w:val="00A82FEC"/>
    <w:rsid w:val="00A86893"/>
    <w:rsid w:val="00A94CE9"/>
    <w:rsid w:val="00A95697"/>
    <w:rsid w:val="00A956DA"/>
    <w:rsid w:val="00A95EEB"/>
    <w:rsid w:val="00A960CE"/>
    <w:rsid w:val="00AA2C94"/>
    <w:rsid w:val="00AA2E04"/>
    <w:rsid w:val="00AA3DD8"/>
    <w:rsid w:val="00AA42E7"/>
    <w:rsid w:val="00AA5409"/>
    <w:rsid w:val="00AA5A06"/>
    <w:rsid w:val="00AA6AA3"/>
    <w:rsid w:val="00AB04CB"/>
    <w:rsid w:val="00AB0DA6"/>
    <w:rsid w:val="00AB3244"/>
    <w:rsid w:val="00AB366B"/>
    <w:rsid w:val="00AB3C13"/>
    <w:rsid w:val="00AB4BCA"/>
    <w:rsid w:val="00AB70B0"/>
    <w:rsid w:val="00AC017E"/>
    <w:rsid w:val="00AC1645"/>
    <w:rsid w:val="00AC235D"/>
    <w:rsid w:val="00AC36DB"/>
    <w:rsid w:val="00AD02C7"/>
    <w:rsid w:val="00AD038E"/>
    <w:rsid w:val="00AD069F"/>
    <w:rsid w:val="00AD15E4"/>
    <w:rsid w:val="00AE19C2"/>
    <w:rsid w:val="00AE331F"/>
    <w:rsid w:val="00AE3438"/>
    <w:rsid w:val="00AE7482"/>
    <w:rsid w:val="00AF014C"/>
    <w:rsid w:val="00AF1F9A"/>
    <w:rsid w:val="00AF3DC9"/>
    <w:rsid w:val="00AF605E"/>
    <w:rsid w:val="00AF6DDE"/>
    <w:rsid w:val="00AF723F"/>
    <w:rsid w:val="00AF7321"/>
    <w:rsid w:val="00B009A9"/>
    <w:rsid w:val="00B0132C"/>
    <w:rsid w:val="00B0275A"/>
    <w:rsid w:val="00B029D8"/>
    <w:rsid w:val="00B07AFF"/>
    <w:rsid w:val="00B123D8"/>
    <w:rsid w:val="00B12EF9"/>
    <w:rsid w:val="00B15F80"/>
    <w:rsid w:val="00B17E7D"/>
    <w:rsid w:val="00B17EAB"/>
    <w:rsid w:val="00B2170C"/>
    <w:rsid w:val="00B23FE5"/>
    <w:rsid w:val="00B25E75"/>
    <w:rsid w:val="00B26E68"/>
    <w:rsid w:val="00B30944"/>
    <w:rsid w:val="00B31A56"/>
    <w:rsid w:val="00B31BD3"/>
    <w:rsid w:val="00B328C1"/>
    <w:rsid w:val="00B32F77"/>
    <w:rsid w:val="00B33562"/>
    <w:rsid w:val="00B33F81"/>
    <w:rsid w:val="00B34352"/>
    <w:rsid w:val="00B416FA"/>
    <w:rsid w:val="00B54BB4"/>
    <w:rsid w:val="00B55833"/>
    <w:rsid w:val="00B56A77"/>
    <w:rsid w:val="00B56A84"/>
    <w:rsid w:val="00B576E2"/>
    <w:rsid w:val="00B57785"/>
    <w:rsid w:val="00B60759"/>
    <w:rsid w:val="00B626C2"/>
    <w:rsid w:val="00B64219"/>
    <w:rsid w:val="00B64F94"/>
    <w:rsid w:val="00B65679"/>
    <w:rsid w:val="00B73839"/>
    <w:rsid w:val="00B80EAC"/>
    <w:rsid w:val="00B81F20"/>
    <w:rsid w:val="00B85105"/>
    <w:rsid w:val="00B86AA6"/>
    <w:rsid w:val="00B90C40"/>
    <w:rsid w:val="00B90D03"/>
    <w:rsid w:val="00B90D32"/>
    <w:rsid w:val="00B9419C"/>
    <w:rsid w:val="00B943CD"/>
    <w:rsid w:val="00B96619"/>
    <w:rsid w:val="00BA19B4"/>
    <w:rsid w:val="00BA2F4B"/>
    <w:rsid w:val="00BA3FF5"/>
    <w:rsid w:val="00BA595E"/>
    <w:rsid w:val="00BA77A4"/>
    <w:rsid w:val="00BB1FAA"/>
    <w:rsid w:val="00BB2B72"/>
    <w:rsid w:val="00BB7A28"/>
    <w:rsid w:val="00BC2D14"/>
    <w:rsid w:val="00BC5AAC"/>
    <w:rsid w:val="00BC67F3"/>
    <w:rsid w:val="00BC6CDB"/>
    <w:rsid w:val="00BD31D6"/>
    <w:rsid w:val="00BD3583"/>
    <w:rsid w:val="00BD3820"/>
    <w:rsid w:val="00BD404A"/>
    <w:rsid w:val="00BD415D"/>
    <w:rsid w:val="00BD41C7"/>
    <w:rsid w:val="00BE041E"/>
    <w:rsid w:val="00BE6064"/>
    <w:rsid w:val="00BF5381"/>
    <w:rsid w:val="00BF57A7"/>
    <w:rsid w:val="00BF5CA7"/>
    <w:rsid w:val="00BF75A3"/>
    <w:rsid w:val="00BF77CD"/>
    <w:rsid w:val="00C0045C"/>
    <w:rsid w:val="00C006A9"/>
    <w:rsid w:val="00C01D04"/>
    <w:rsid w:val="00C076F4"/>
    <w:rsid w:val="00C07C96"/>
    <w:rsid w:val="00C1135A"/>
    <w:rsid w:val="00C126BF"/>
    <w:rsid w:val="00C1631E"/>
    <w:rsid w:val="00C173D1"/>
    <w:rsid w:val="00C20206"/>
    <w:rsid w:val="00C20944"/>
    <w:rsid w:val="00C2420C"/>
    <w:rsid w:val="00C2490D"/>
    <w:rsid w:val="00C25B4F"/>
    <w:rsid w:val="00C31893"/>
    <w:rsid w:val="00C31E6C"/>
    <w:rsid w:val="00C32633"/>
    <w:rsid w:val="00C33301"/>
    <w:rsid w:val="00C34292"/>
    <w:rsid w:val="00C37AE0"/>
    <w:rsid w:val="00C417E3"/>
    <w:rsid w:val="00C41F37"/>
    <w:rsid w:val="00C44EB1"/>
    <w:rsid w:val="00C53B46"/>
    <w:rsid w:val="00C54C0D"/>
    <w:rsid w:val="00C54C6A"/>
    <w:rsid w:val="00C579A7"/>
    <w:rsid w:val="00C57E92"/>
    <w:rsid w:val="00C6074A"/>
    <w:rsid w:val="00C61C68"/>
    <w:rsid w:val="00C62607"/>
    <w:rsid w:val="00C64F71"/>
    <w:rsid w:val="00C650C0"/>
    <w:rsid w:val="00C7099D"/>
    <w:rsid w:val="00C73779"/>
    <w:rsid w:val="00C75155"/>
    <w:rsid w:val="00C76A79"/>
    <w:rsid w:val="00C80426"/>
    <w:rsid w:val="00C855A0"/>
    <w:rsid w:val="00C8694C"/>
    <w:rsid w:val="00C86BED"/>
    <w:rsid w:val="00C87957"/>
    <w:rsid w:val="00C96CD8"/>
    <w:rsid w:val="00C9737A"/>
    <w:rsid w:val="00CA1C67"/>
    <w:rsid w:val="00CA34C4"/>
    <w:rsid w:val="00CA6470"/>
    <w:rsid w:val="00CA6561"/>
    <w:rsid w:val="00CB04DA"/>
    <w:rsid w:val="00CB525F"/>
    <w:rsid w:val="00CB68EB"/>
    <w:rsid w:val="00CB72CC"/>
    <w:rsid w:val="00CB7BC6"/>
    <w:rsid w:val="00CC1DEE"/>
    <w:rsid w:val="00CC23B4"/>
    <w:rsid w:val="00CC4892"/>
    <w:rsid w:val="00CC6D56"/>
    <w:rsid w:val="00CC7982"/>
    <w:rsid w:val="00CD023E"/>
    <w:rsid w:val="00CD044F"/>
    <w:rsid w:val="00CD09DC"/>
    <w:rsid w:val="00CD153B"/>
    <w:rsid w:val="00CD1972"/>
    <w:rsid w:val="00CD3993"/>
    <w:rsid w:val="00CD3A56"/>
    <w:rsid w:val="00CD77E8"/>
    <w:rsid w:val="00CE0AA1"/>
    <w:rsid w:val="00CE3A44"/>
    <w:rsid w:val="00CE591C"/>
    <w:rsid w:val="00CF0C6C"/>
    <w:rsid w:val="00CF24F5"/>
    <w:rsid w:val="00CF3F7C"/>
    <w:rsid w:val="00CF5881"/>
    <w:rsid w:val="00D0004F"/>
    <w:rsid w:val="00D06E35"/>
    <w:rsid w:val="00D144DA"/>
    <w:rsid w:val="00D146F4"/>
    <w:rsid w:val="00D201B6"/>
    <w:rsid w:val="00D23DDC"/>
    <w:rsid w:val="00D2534D"/>
    <w:rsid w:val="00D27996"/>
    <w:rsid w:val="00D3268E"/>
    <w:rsid w:val="00D33830"/>
    <w:rsid w:val="00D37F0B"/>
    <w:rsid w:val="00D43553"/>
    <w:rsid w:val="00D4604E"/>
    <w:rsid w:val="00D474FD"/>
    <w:rsid w:val="00D5053A"/>
    <w:rsid w:val="00D56766"/>
    <w:rsid w:val="00D62970"/>
    <w:rsid w:val="00D64512"/>
    <w:rsid w:val="00D65AC4"/>
    <w:rsid w:val="00D6755C"/>
    <w:rsid w:val="00D71C6A"/>
    <w:rsid w:val="00D72923"/>
    <w:rsid w:val="00D733A3"/>
    <w:rsid w:val="00D73BBF"/>
    <w:rsid w:val="00D7542B"/>
    <w:rsid w:val="00D8353A"/>
    <w:rsid w:val="00D8495D"/>
    <w:rsid w:val="00D86C73"/>
    <w:rsid w:val="00D919CB"/>
    <w:rsid w:val="00D930CE"/>
    <w:rsid w:val="00D95AAD"/>
    <w:rsid w:val="00DA04E8"/>
    <w:rsid w:val="00DA26C4"/>
    <w:rsid w:val="00DB7996"/>
    <w:rsid w:val="00DC23A5"/>
    <w:rsid w:val="00DC290C"/>
    <w:rsid w:val="00DC2AE2"/>
    <w:rsid w:val="00DC4A02"/>
    <w:rsid w:val="00DC4E7D"/>
    <w:rsid w:val="00DC7410"/>
    <w:rsid w:val="00DD1134"/>
    <w:rsid w:val="00DD1F40"/>
    <w:rsid w:val="00DD37B8"/>
    <w:rsid w:val="00DD4257"/>
    <w:rsid w:val="00DD51F1"/>
    <w:rsid w:val="00DD7EA3"/>
    <w:rsid w:val="00DE364C"/>
    <w:rsid w:val="00DE3966"/>
    <w:rsid w:val="00DE643C"/>
    <w:rsid w:val="00DF75B0"/>
    <w:rsid w:val="00E03B27"/>
    <w:rsid w:val="00E05158"/>
    <w:rsid w:val="00E13192"/>
    <w:rsid w:val="00E20402"/>
    <w:rsid w:val="00E20BEF"/>
    <w:rsid w:val="00E216B8"/>
    <w:rsid w:val="00E218C3"/>
    <w:rsid w:val="00E21B8C"/>
    <w:rsid w:val="00E2285E"/>
    <w:rsid w:val="00E23E81"/>
    <w:rsid w:val="00E24CA7"/>
    <w:rsid w:val="00E25F87"/>
    <w:rsid w:val="00E26197"/>
    <w:rsid w:val="00E272DC"/>
    <w:rsid w:val="00E32314"/>
    <w:rsid w:val="00E32B3A"/>
    <w:rsid w:val="00E33F55"/>
    <w:rsid w:val="00E360F8"/>
    <w:rsid w:val="00E3747E"/>
    <w:rsid w:val="00E41DD4"/>
    <w:rsid w:val="00E43DD6"/>
    <w:rsid w:val="00E45891"/>
    <w:rsid w:val="00E46E95"/>
    <w:rsid w:val="00E478AE"/>
    <w:rsid w:val="00E50384"/>
    <w:rsid w:val="00E5369E"/>
    <w:rsid w:val="00E54BF8"/>
    <w:rsid w:val="00E5510B"/>
    <w:rsid w:val="00E55E3C"/>
    <w:rsid w:val="00E574CF"/>
    <w:rsid w:val="00E6384C"/>
    <w:rsid w:val="00E63EA8"/>
    <w:rsid w:val="00E64637"/>
    <w:rsid w:val="00E65429"/>
    <w:rsid w:val="00E705BC"/>
    <w:rsid w:val="00E711F6"/>
    <w:rsid w:val="00E71C79"/>
    <w:rsid w:val="00E727A8"/>
    <w:rsid w:val="00E72C11"/>
    <w:rsid w:val="00E74E81"/>
    <w:rsid w:val="00E7772F"/>
    <w:rsid w:val="00E817CE"/>
    <w:rsid w:val="00E83F46"/>
    <w:rsid w:val="00E84E46"/>
    <w:rsid w:val="00E86A23"/>
    <w:rsid w:val="00E86C91"/>
    <w:rsid w:val="00E91AFC"/>
    <w:rsid w:val="00E92D82"/>
    <w:rsid w:val="00E93C49"/>
    <w:rsid w:val="00E97E1E"/>
    <w:rsid w:val="00E97EC9"/>
    <w:rsid w:val="00EA0D71"/>
    <w:rsid w:val="00EA0EA3"/>
    <w:rsid w:val="00EA20BC"/>
    <w:rsid w:val="00EA28A3"/>
    <w:rsid w:val="00EA622D"/>
    <w:rsid w:val="00EA680A"/>
    <w:rsid w:val="00EB0CAD"/>
    <w:rsid w:val="00EB6D75"/>
    <w:rsid w:val="00EB7AD6"/>
    <w:rsid w:val="00EC0A04"/>
    <w:rsid w:val="00EC126A"/>
    <w:rsid w:val="00EC503D"/>
    <w:rsid w:val="00EC5660"/>
    <w:rsid w:val="00EC59E3"/>
    <w:rsid w:val="00EC6429"/>
    <w:rsid w:val="00ED169F"/>
    <w:rsid w:val="00ED537F"/>
    <w:rsid w:val="00EE0AA8"/>
    <w:rsid w:val="00EE2ECE"/>
    <w:rsid w:val="00EE4D02"/>
    <w:rsid w:val="00EE6F57"/>
    <w:rsid w:val="00EE7163"/>
    <w:rsid w:val="00EF0879"/>
    <w:rsid w:val="00EF0D4A"/>
    <w:rsid w:val="00EF3367"/>
    <w:rsid w:val="00EF5198"/>
    <w:rsid w:val="00F0045C"/>
    <w:rsid w:val="00F00DB1"/>
    <w:rsid w:val="00F01ED0"/>
    <w:rsid w:val="00F03D15"/>
    <w:rsid w:val="00F06E8D"/>
    <w:rsid w:val="00F110D0"/>
    <w:rsid w:val="00F139BE"/>
    <w:rsid w:val="00F15581"/>
    <w:rsid w:val="00F15731"/>
    <w:rsid w:val="00F17087"/>
    <w:rsid w:val="00F20167"/>
    <w:rsid w:val="00F205E9"/>
    <w:rsid w:val="00F209CA"/>
    <w:rsid w:val="00F22DF5"/>
    <w:rsid w:val="00F2300E"/>
    <w:rsid w:val="00F25A66"/>
    <w:rsid w:val="00F274BF"/>
    <w:rsid w:val="00F3114E"/>
    <w:rsid w:val="00F3292D"/>
    <w:rsid w:val="00F34DD4"/>
    <w:rsid w:val="00F37250"/>
    <w:rsid w:val="00F37D5F"/>
    <w:rsid w:val="00F439FD"/>
    <w:rsid w:val="00F54A45"/>
    <w:rsid w:val="00F56CB1"/>
    <w:rsid w:val="00F60381"/>
    <w:rsid w:val="00F61691"/>
    <w:rsid w:val="00F625D8"/>
    <w:rsid w:val="00F630DD"/>
    <w:rsid w:val="00F63DE9"/>
    <w:rsid w:val="00F70570"/>
    <w:rsid w:val="00F72259"/>
    <w:rsid w:val="00F72557"/>
    <w:rsid w:val="00F7297F"/>
    <w:rsid w:val="00F73D11"/>
    <w:rsid w:val="00F755E9"/>
    <w:rsid w:val="00F76D03"/>
    <w:rsid w:val="00F80F9A"/>
    <w:rsid w:val="00F81B5B"/>
    <w:rsid w:val="00F81C81"/>
    <w:rsid w:val="00F82E95"/>
    <w:rsid w:val="00F832FA"/>
    <w:rsid w:val="00F84720"/>
    <w:rsid w:val="00F86E9B"/>
    <w:rsid w:val="00F8769A"/>
    <w:rsid w:val="00F92732"/>
    <w:rsid w:val="00F935CE"/>
    <w:rsid w:val="00FA2C16"/>
    <w:rsid w:val="00FA659B"/>
    <w:rsid w:val="00FB0F3E"/>
    <w:rsid w:val="00FB254F"/>
    <w:rsid w:val="00FB4CFF"/>
    <w:rsid w:val="00FB56E6"/>
    <w:rsid w:val="00FB6726"/>
    <w:rsid w:val="00FC1CBA"/>
    <w:rsid w:val="00FC24E7"/>
    <w:rsid w:val="00FC3C6D"/>
    <w:rsid w:val="00FD0DD3"/>
    <w:rsid w:val="00FD19E2"/>
    <w:rsid w:val="00FD4DCE"/>
    <w:rsid w:val="00FD7ACD"/>
    <w:rsid w:val="00FE0552"/>
    <w:rsid w:val="00FE0A68"/>
    <w:rsid w:val="00FE1665"/>
    <w:rsid w:val="00FE204F"/>
    <w:rsid w:val="00FE4124"/>
    <w:rsid w:val="00FF2C41"/>
    <w:rsid w:val="00FF5664"/>
    <w:rsid w:val="00FF5E7F"/>
    <w:rsid w:val="00FF6138"/>
    <w:rsid w:val="00FF6202"/>
    <w:rsid w:val="00FF79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3A3D0D"/>
  <w15:chartTrackingRefBased/>
  <w15:docId w15:val="{888D970E-85A8-4719-BABF-8742F3023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head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2A8"/>
    <w:pPr>
      <w:spacing w:after="200" w:line="276" w:lineRule="auto"/>
    </w:pPr>
    <w:rPr>
      <w:sz w:val="22"/>
      <w:szCs w:val="22"/>
    </w:rPr>
  </w:style>
  <w:style w:type="paragraph" w:styleId="Heading1">
    <w:name w:val="heading 1"/>
    <w:basedOn w:val="Normal"/>
    <w:next w:val="Normal"/>
    <w:link w:val="Heading1Char"/>
    <w:qFormat/>
    <w:rsid w:val="0014020E"/>
    <w:pPr>
      <w:keepNext/>
      <w:numPr>
        <w:numId w:val="3"/>
      </w:numPr>
      <w:spacing w:before="280" w:after="120" w:line="240" w:lineRule="auto"/>
      <w:outlineLvl w:val="0"/>
    </w:pPr>
    <w:rPr>
      <w:rFonts w:ascii="Lucida Sans" w:eastAsia="Times New Roman" w:hAnsi="Lucida Sans" w:cs="Arial"/>
      <w:b/>
      <w:color w:val="0070C0"/>
      <w:kern w:val="28"/>
      <w:szCs w:val="24"/>
    </w:rPr>
  </w:style>
  <w:style w:type="paragraph" w:styleId="Heading2">
    <w:name w:val="heading 2"/>
    <w:basedOn w:val="Normal"/>
    <w:next w:val="Normal"/>
    <w:link w:val="Heading2Char"/>
    <w:uiPriority w:val="9"/>
    <w:qFormat/>
    <w:rsid w:val="005435BE"/>
    <w:pPr>
      <w:keepNext/>
      <w:keepLines/>
      <w:numPr>
        <w:ilvl w:val="1"/>
        <w:numId w:val="3"/>
      </w:numPr>
      <w:spacing w:before="200" w:after="0"/>
      <w:outlineLvl w:val="1"/>
    </w:pPr>
    <w:rPr>
      <w:rFonts w:ascii="Cambria" w:eastAsia="Times New Roman" w:hAnsi="Cambria"/>
      <w:b/>
      <w:bCs/>
      <w:i/>
      <w:color w:val="4F81BD"/>
      <w:szCs w:val="26"/>
    </w:rPr>
  </w:style>
  <w:style w:type="paragraph" w:styleId="Heading3">
    <w:name w:val="heading 3"/>
    <w:basedOn w:val="Normal"/>
    <w:next w:val="Normal"/>
    <w:link w:val="Heading3Char"/>
    <w:uiPriority w:val="9"/>
    <w:semiHidden/>
    <w:unhideWhenUsed/>
    <w:qFormat/>
    <w:rsid w:val="009E487A"/>
    <w:pPr>
      <w:keepNext/>
      <w:keepLines/>
      <w:numPr>
        <w:ilvl w:val="2"/>
        <w:numId w:val="3"/>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9E487A"/>
    <w:pPr>
      <w:keepNext/>
      <w:keepLines/>
      <w:numPr>
        <w:ilvl w:val="3"/>
        <w:numId w:val="3"/>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9E487A"/>
    <w:pPr>
      <w:keepNext/>
      <w:keepLines/>
      <w:numPr>
        <w:ilvl w:val="4"/>
        <w:numId w:val="3"/>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9E487A"/>
    <w:pPr>
      <w:keepNext/>
      <w:keepLines/>
      <w:numPr>
        <w:ilvl w:val="5"/>
        <w:numId w:val="3"/>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9E487A"/>
    <w:pPr>
      <w:keepNext/>
      <w:keepLines/>
      <w:numPr>
        <w:ilvl w:val="6"/>
        <w:numId w:val="3"/>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9E487A"/>
    <w:pPr>
      <w:keepNext/>
      <w:keepLines/>
      <w:numPr>
        <w:ilvl w:val="7"/>
        <w:numId w:val="3"/>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9E487A"/>
    <w:pPr>
      <w:keepNext/>
      <w:keepLines/>
      <w:numPr>
        <w:ilvl w:val="8"/>
        <w:numId w:val="3"/>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2218"/>
    <w:pPr>
      <w:tabs>
        <w:tab w:val="center" w:pos="4320"/>
        <w:tab w:val="right" w:pos="8640"/>
      </w:tabs>
    </w:pPr>
  </w:style>
  <w:style w:type="paragraph" w:styleId="Footer">
    <w:name w:val="footer"/>
    <w:basedOn w:val="Normal"/>
    <w:rsid w:val="000E2218"/>
    <w:pPr>
      <w:tabs>
        <w:tab w:val="center" w:pos="4320"/>
        <w:tab w:val="right" w:pos="8640"/>
      </w:tabs>
    </w:pPr>
  </w:style>
  <w:style w:type="paragraph" w:styleId="TOC1">
    <w:name w:val="toc 1"/>
    <w:basedOn w:val="Normal"/>
    <w:next w:val="Normal"/>
    <w:autoRedefine/>
    <w:uiPriority w:val="39"/>
    <w:rsid w:val="001760FD"/>
    <w:rPr>
      <w:szCs w:val="20"/>
    </w:rPr>
  </w:style>
  <w:style w:type="paragraph" w:styleId="BodyText">
    <w:name w:val="Body Text"/>
    <w:basedOn w:val="Normal"/>
    <w:rsid w:val="001760FD"/>
    <w:rPr>
      <w:sz w:val="20"/>
      <w:szCs w:val="20"/>
    </w:rPr>
  </w:style>
  <w:style w:type="paragraph" w:styleId="Subtitle">
    <w:name w:val="Subtitle"/>
    <w:basedOn w:val="Normal"/>
    <w:next w:val="Normal"/>
    <w:link w:val="SubtitleChar"/>
    <w:uiPriority w:val="11"/>
    <w:qFormat/>
    <w:rsid w:val="009E487A"/>
    <w:pPr>
      <w:numPr>
        <w:ilvl w:val="1"/>
      </w:numPr>
    </w:pPr>
    <w:rPr>
      <w:rFonts w:ascii="Cambria" w:eastAsia="Times New Roman" w:hAnsi="Cambria"/>
      <w:i/>
      <w:iCs/>
      <w:color w:val="4F81BD"/>
      <w:spacing w:val="15"/>
      <w:sz w:val="24"/>
      <w:szCs w:val="24"/>
    </w:rPr>
  </w:style>
  <w:style w:type="table" w:styleId="TableGrid">
    <w:name w:val="Table Grid"/>
    <w:basedOn w:val="TableNormal"/>
    <w:uiPriority w:val="59"/>
    <w:rsid w:val="00702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057D6"/>
    <w:rPr>
      <w:rFonts w:ascii="Tahoma" w:hAnsi="Tahoma" w:cs="Tahoma"/>
      <w:sz w:val="16"/>
      <w:szCs w:val="16"/>
    </w:rPr>
  </w:style>
  <w:style w:type="character" w:styleId="Hyperlink">
    <w:name w:val="Hyperlink"/>
    <w:uiPriority w:val="99"/>
    <w:rsid w:val="00D474FD"/>
    <w:rPr>
      <w:color w:val="0000FF"/>
      <w:u w:val="single"/>
    </w:rPr>
  </w:style>
  <w:style w:type="character" w:styleId="CommentReference">
    <w:name w:val="annotation reference"/>
    <w:semiHidden/>
    <w:rsid w:val="00CB68EB"/>
    <w:rPr>
      <w:sz w:val="16"/>
      <w:szCs w:val="16"/>
    </w:rPr>
  </w:style>
  <w:style w:type="paragraph" w:styleId="CommentText">
    <w:name w:val="annotation text"/>
    <w:basedOn w:val="Normal"/>
    <w:link w:val="CommentTextChar"/>
    <w:semiHidden/>
    <w:rsid w:val="00CB68EB"/>
    <w:rPr>
      <w:sz w:val="20"/>
      <w:szCs w:val="20"/>
    </w:rPr>
  </w:style>
  <w:style w:type="character" w:customStyle="1" w:styleId="EmailStyle251">
    <w:name w:val="EmailStyle251"/>
    <w:semiHidden/>
    <w:rsid w:val="00D37F0B"/>
    <w:rPr>
      <w:rFonts w:ascii="Times New Roman" w:hAnsi="Times New Roman" w:cs="Times New Roman"/>
      <w:b w:val="0"/>
      <w:bCs w:val="0"/>
      <w:i w:val="0"/>
      <w:iCs w:val="0"/>
      <w:strike w:val="0"/>
      <w:color w:val="auto"/>
      <w:sz w:val="24"/>
      <w:szCs w:val="24"/>
      <w:u w:val="none"/>
    </w:rPr>
  </w:style>
  <w:style w:type="paragraph" w:styleId="CommentSubject">
    <w:name w:val="annotation subject"/>
    <w:basedOn w:val="CommentText"/>
    <w:next w:val="CommentText"/>
    <w:link w:val="CommentSubjectChar"/>
    <w:rsid w:val="00E3747E"/>
    <w:rPr>
      <w:b/>
      <w:bCs/>
    </w:rPr>
  </w:style>
  <w:style w:type="character" w:customStyle="1" w:styleId="CommentTextChar">
    <w:name w:val="Comment Text Char"/>
    <w:basedOn w:val="DefaultParagraphFont"/>
    <w:link w:val="CommentText"/>
    <w:semiHidden/>
    <w:rsid w:val="00E3747E"/>
  </w:style>
  <w:style w:type="character" w:customStyle="1" w:styleId="CommentSubjectChar">
    <w:name w:val="Comment Subject Char"/>
    <w:basedOn w:val="CommentTextChar"/>
    <w:link w:val="CommentSubject"/>
    <w:rsid w:val="00E3747E"/>
  </w:style>
  <w:style w:type="character" w:customStyle="1" w:styleId="productsku">
    <w:name w:val="productsku"/>
    <w:basedOn w:val="DefaultParagraphFont"/>
    <w:rsid w:val="003964CD"/>
  </w:style>
  <w:style w:type="paragraph" w:styleId="ListParagraph">
    <w:name w:val="List Paragraph"/>
    <w:basedOn w:val="Normal"/>
    <w:link w:val="ListParagraphChar"/>
    <w:uiPriority w:val="34"/>
    <w:qFormat/>
    <w:rsid w:val="009E487A"/>
    <w:pPr>
      <w:ind w:left="720"/>
      <w:contextualSpacing/>
    </w:pPr>
  </w:style>
  <w:style w:type="paragraph" w:styleId="NormalWeb">
    <w:name w:val="Normal (Web)"/>
    <w:basedOn w:val="Normal"/>
    <w:uiPriority w:val="99"/>
    <w:unhideWhenUsed/>
    <w:rsid w:val="00B56A77"/>
  </w:style>
  <w:style w:type="character" w:styleId="Emphasis">
    <w:name w:val="Emphasis"/>
    <w:uiPriority w:val="20"/>
    <w:qFormat/>
    <w:rsid w:val="009E487A"/>
    <w:rPr>
      <w:i/>
      <w:iCs/>
    </w:rPr>
  </w:style>
  <w:style w:type="paragraph" w:styleId="NoSpacing">
    <w:name w:val="No Spacing"/>
    <w:uiPriority w:val="1"/>
    <w:qFormat/>
    <w:rsid w:val="009E487A"/>
    <w:rPr>
      <w:sz w:val="22"/>
      <w:szCs w:val="22"/>
    </w:rPr>
  </w:style>
  <w:style w:type="character" w:styleId="PlaceholderText">
    <w:name w:val="Placeholder Text"/>
    <w:uiPriority w:val="99"/>
    <w:semiHidden/>
    <w:rsid w:val="00C855A0"/>
    <w:rPr>
      <w:color w:val="808080"/>
    </w:rPr>
  </w:style>
  <w:style w:type="paragraph" w:customStyle="1" w:styleId="Default">
    <w:name w:val="Default"/>
    <w:rsid w:val="00F82E95"/>
    <w:pPr>
      <w:autoSpaceDE w:val="0"/>
      <w:autoSpaceDN w:val="0"/>
      <w:adjustRightInd w:val="0"/>
      <w:spacing w:after="200" w:line="276" w:lineRule="auto"/>
    </w:pPr>
    <w:rPr>
      <w:rFonts w:cs="Calibri"/>
      <w:color w:val="000000"/>
      <w:sz w:val="24"/>
      <w:szCs w:val="24"/>
    </w:rPr>
  </w:style>
  <w:style w:type="character" w:customStyle="1" w:styleId="ssens">
    <w:name w:val="ssens"/>
    <w:basedOn w:val="DefaultParagraphFont"/>
    <w:rsid w:val="00497AE2"/>
  </w:style>
  <w:style w:type="character" w:customStyle="1" w:styleId="Heading1Char">
    <w:name w:val="Heading 1 Char"/>
    <w:link w:val="Heading1"/>
    <w:rsid w:val="0014020E"/>
    <w:rPr>
      <w:rFonts w:ascii="Lucida Sans" w:eastAsia="Times New Roman" w:hAnsi="Lucida Sans" w:cs="Arial"/>
      <w:b/>
      <w:color w:val="0070C0"/>
      <w:kern w:val="28"/>
      <w:szCs w:val="24"/>
    </w:rPr>
  </w:style>
  <w:style w:type="character" w:customStyle="1" w:styleId="Heading2Char">
    <w:name w:val="Heading 2 Char"/>
    <w:link w:val="Heading2"/>
    <w:uiPriority w:val="9"/>
    <w:rsid w:val="005435BE"/>
    <w:rPr>
      <w:rFonts w:ascii="Cambria" w:eastAsia="Times New Roman" w:hAnsi="Cambria"/>
      <w:b/>
      <w:bCs/>
      <w:i/>
      <w:color w:val="4F81BD"/>
      <w:sz w:val="22"/>
      <w:szCs w:val="26"/>
    </w:rPr>
  </w:style>
  <w:style w:type="character" w:customStyle="1" w:styleId="Heading3Char">
    <w:name w:val="Heading 3 Char"/>
    <w:link w:val="Heading3"/>
    <w:uiPriority w:val="9"/>
    <w:semiHidden/>
    <w:rsid w:val="009E487A"/>
    <w:rPr>
      <w:rFonts w:ascii="Cambria" w:eastAsia="Times New Roman" w:hAnsi="Cambria" w:cs="Times New Roman"/>
      <w:b/>
      <w:bCs/>
      <w:color w:val="4F81BD"/>
    </w:rPr>
  </w:style>
  <w:style w:type="character" w:customStyle="1" w:styleId="Heading4Char">
    <w:name w:val="Heading 4 Char"/>
    <w:link w:val="Heading4"/>
    <w:uiPriority w:val="9"/>
    <w:semiHidden/>
    <w:rsid w:val="009E487A"/>
    <w:rPr>
      <w:rFonts w:ascii="Cambria" w:eastAsia="Times New Roman" w:hAnsi="Cambria" w:cs="Times New Roman"/>
      <w:b/>
      <w:bCs/>
      <w:i/>
      <w:iCs/>
      <w:color w:val="4F81BD"/>
    </w:rPr>
  </w:style>
  <w:style w:type="character" w:customStyle="1" w:styleId="Heading5Char">
    <w:name w:val="Heading 5 Char"/>
    <w:link w:val="Heading5"/>
    <w:uiPriority w:val="9"/>
    <w:semiHidden/>
    <w:rsid w:val="009E487A"/>
    <w:rPr>
      <w:rFonts w:ascii="Cambria" w:eastAsia="Times New Roman" w:hAnsi="Cambria" w:cs="Times New Roman"/>
      <w:color w:val="243F60"/>
    </w:rPr>
  </w:style>
  <w:style w:type="character" w:customStyle="1" w:styleId="Heading6Char">
    <w:name w:val="Heading 6 Char"/>
    <w:link w:val="Heading6"/>
    <w:uiPriority w:val="9"/>
    <w:semiHidden/>
    <w:rsid w:val="009E487A"/>
    <w:rPr>
      <w:rFonts w:ascii="Cambria" w:eastAsia="Times New Roman" w:hAnsi="Cambria" w:cs="Times New Roman"/>
      <w:i/>
      <w:iCs/>
      <w:color w:val="243F60"/>
    </w:rPr>
  </w:style>
  <w:style w:type="character" w:customStyle="1" w:styleId="Heading7Char">
    <w:name w:val="Heading 7 Char"/>
    <w:link w:val="Heading7"/>
    <w:uiPriority w:val="9"/>
    <w:semiHidden/>
    <w:rsid w:val="009E487A"/>
    <w:rPr>
      <w:rFonts w:ascii="Cambria" w:eastAsia="Times New Roman" w:hAnsi="Cambria" w:cs="Times New Roman"/>
      <w:i/>
      <w:iCs/>
      <w:color w:val="404040"/>
    </w:rPr>
  </w:style>
  <w:style w:type="character" w:customStyle="1" w:styleId="Heading8Char">
    <w:name w:val="Heading 8 Char"/>
    <w:link w:val="Heading8"/>
    <w:uiPriority w:val="9"/>
    <w:semiHidden/>
    <w:rsid w:val="009E487A"/>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9E487A"/>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9E487A"/>
    <w:pPr>
      <w:spacing w:line="240" w:lineRule="auto"/>
    </w:pPr>
    <w:rPr>
      <w:b/>
      <w:bCs/>
      <w:color w:val="4F81BD"/>
      <w:sz w:val="18"/>
      <w:szCs w:val="18"/>
    </w:rPr>
  </w:style>
  <w:style w:type="paragraph" w:styleId="Title">
    <w:name w:val="Title"/>
    <w:basedOn w:val="Normal"/>
    <w:next w:val="Normal"/>
    <w:link w:val="TitleChar"/>
    <w:uiPriority w:val="10"/>
    <w:qFormat/>
    <w:rsid w:val="009E487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9E487A"/>
    <w:rPr>
      <w:rFonts w:ascii="Cambria" w:eastAsia="Times New Roman" w:hAnsi="Cambria" w:cs="Times New Roman"/>
      <w:color w:val="17365D"/>
      <w:spacing w:val="5"/>
      <w:kern w:val="28"/>
      <w:sz w:val="52"/>
      <w:szCs w:val="52"/>
    </w:rPr>
  </w:style>
  <w:style w:type="character" w:customStyle="1" w:styleId="SubtitleChar">
    <w:name w:val="Subtitle Char"/>
    <w:link w:val="Subtitle"/>
    <w:uiPriority w:val="11"/>
    <w:rsid w:val="009E487A"/>
    <w:rPr>
      <w:rFonts w:ascii="Cambria" w:eastAsia="Times New Roman" w:hAnsi="Cambria" w:cs="Times New Roman"/>
      <w:i/>
      <w:iCs/>
      <w:color w:val="4F81BD"/>
      <w:spacing w:val="15"/>
      <w:sz w:val="24"/>
      <w:szCs w:val="24"/>
    </w:rPr>
  </w:style>
  <w:style w:type="character" w:styleId="Strong">
    <w:name w:val="Strong"/>
    <w:uiPriority w:val="22"/>
    <w:qFormat/>
    <w:rsid w:val="009E487A"/>
    <w:rPr>
      <w:b/>
      <w:bCs/>
    </w:rPr>
  </w:style>
  <w:style w:type="paragraph" w:styleId="Quote">
    <w:name w:val="Quote"/>
    <w:basedOn w:val="Normal"/>
    <w:next w:val="Normal"/>
    <w:link w:val="QuoteChar"/>
    <w:uiPriority w:val="29"/>
    <w:qFormat/>
    <w:rsid w:val="009E487A"/>
    <w:rPr>
      <w:i/>
      <w:iCs/>
      <w:color w:val="000000"/>
    </w:rPr>
  </w:style>
  <w:style w:type="character" w:customStyle="1" w:styleId="QuoteChar">
    <w:name w:val="Quote Char"/>
    <w:link w:val="Quote"/>
    <w:uiPriority w:val="29"/>
    <w:rsid w:val="009E487A"/>
    <w:rPr>
      <w:i/>
      <w:iCs/>
      <w:color w:val="000000"/>
    </w:rPr>
  </w:style>
  <w:style w:type="paragraph" w:styleId="IntenseQuote">
    <w:name w:val="Intense Quote"/>
    <w:basedOn w:val="Normal"/>
    <w:next w:val="Normal"/>
    <w:link w:val="IntenseQuoteChar"/>
    <w:uiPriority w:val="30"/>
    <w:qFormat/>
    <w:rsid w:val="009E487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E487A"/>
    <w:rPr>
      <w:b/>
      <w:bCs/>
      <w:i/>
      <w:iCs/>
      <w:color w:val="4F81BD"/>
    </w:rPr>
  </w:style>
  <w:style w:type="character" w:styleId="SubtleEmphasis">
    <w:name w:val="Subtle Emphasis"/>
    <w:uiPriority w:val="19"/>
    <w:qFormat/>
    <w:rsid w:val="009E487A"/>
    <w:rPr>
      <w:i/>
      <w:iCs/>
      <w:color w:val="808080"/>
    </w:rPr>
  </w:style>
  <w:style w:type="character" w:styleId="IntenseEmphasis">
    <w:name w:val="Intense Emphasis"/>
    <w:uiPriority w:val="21"/>
    <w:qFormat/>
    <w:rsid w:val="009E487A"/>
    <w:rPr>
      <w:b/>
      <w:bCs/>
      <w:i/>
      <w:iCs/>
      <w:color w:val="4F81BD"/>
    </w:rPr>
  </w:style>
  <w:style w:type="character" w:styleId="SubtleReference">
    <w:name w:val="Subtle Reference"/>
    <w:uiPriority w:val="31"/>
    <w:qFormat/>
    <w:rsid w:val="009E487A"/>
    <w:rPr>
      <w:smallCaps/>
      <w:color w:val="C0504D"/>
      <w:u w:val="single"/>
    </w:rPr>
  </w:style>
  <w:style w:type="character" w:styleId="IntenseReference">
    <w:name w:val="Intense Reference"/>
    <w:uiPriority w:val="32"/>
    <w:qFormat/>
    <w:rsid w:val="009E487A"/>
    <w:rPr>
      <w:b/>
      <w:bCs/>
      <w:smallCaps/>
      <w:color w:val="C0504D"/>
      <w:spacing w:val="5"/>
      <w:u w:val="single"/>
    </w:rPr>
  </w:style>
  <w:style w:type="character" w:styleId="BookTitle">
    <w:name w:val="Book Title"/>
    <w:uiPriority w:val="33"/>
    <w:qFormat/>
    <w:rsid w:val="009E487A"/>
    <w:rPr>
      <w:b/>
      <w:bCs/>
      <w:smallCaps/>
      <w:spacing w:val="5"/>
    </w:rPr>
  </w:style>
  <w:style w:type="paragraph" w:styleId="TOCHeading">
    <w:name w:val="TOC Heading"/>
    <w:basedOn w:val="Heading1"/>
    <w:next w:val="Normal"/>
    <w:uiPriority w:val="39"/>
    <w:unhideWhenUsed/>
    <w:qFormat/>
    <w:rsid w:val="009E487A"/>
    <w:pPr>
      <w:outlineLvl w:val="9"/>
    </w:pPr>
  </w:style>
  <w:style w:type="paragraph" w:styleId="TOC2">
    <w:name w:val="toc 2"/>
    <w:basedOn w:val="Normal"/>
    <w:next w:val="Normal"/>
    <w:autoRedefine/>
    <w:uiPriority w:val="39"/>
    <w:rsid w:val="009E487A"/>
    <w:pPr>
      <w:spacing w:after="100"/>
      <w:ind w:left="220"/>
    </w:pPr>
  </w:style>
  <w:style w:type="paragraph" w:customStyle="1" w:styleId="Style1">
    <w:name w:val="Style1"/>
    <w:basedOn w:val="Heading2"/>
    <w:rsid w:val="005435BE"/>
  </w:style>
  <w:style w:type="paragraph" w:styleId="Revision">
    <w:name w:val="Revision"/>
    <w:hidden/>
    <w:uiPriority w:val="99"/>
    <w:semiHidden/>
    <w:rsid w:val="008F002B"/>
    <w:rPr>
      <w:sz w:val="22"/>
      <w:szCs w:val="22"/>
    </w:rPr>
  </w:style>
  <w:style w:type="character" w:customStyle="1" w:styleId="HeaderChar">
    <w:name w:val="Header Char"/>
    <w:basedOn w:val="DefaultParagraphFont"/>
    <w:link w:val="Header"/>
    <w:uiPriority w:val="99"/>
    <w:rsid w:val="009762EF"/>
  </w:style>
  <w:style w:type="character" w:customStyle="1" w:styleId="Style2">
    <w:name w:val="Style2"/>
    <w:uiPriority w:val="1"/>
    <w:rsid w:val="003E62A8"/>
    <w:rPr>
      <w:rFonts w:ascii="Calibri" w:hAnsi="Calibri"/>
      <w:b/>
      <w:sz w:val="44"/>
    </w:rPr>
  </w:style>
  <w:style w:type="character" w:customStyle="1" w:styleId="Style3">
    <w:name w:val="Style3"/>
    <w:uiPriority w:val="1"/>
    <w:rsid w:val="003E62A8"/>
    <w:rPr>
      <w:rFonts w:ascii="Calibri" w:hAnsi="Calibri"/>
      <w:b/>
      <w:sz w:val="44"/>
    </w:rPr>
  </w:style>
  <w:style w:type="character" w:customStyle="1" w:styleId="Style4">
    <w:name w:val="Style4"/>
    <w:uiPriority w:val="1"/>
    <w:rsid w:val="005B66FB"/>
    <w:rPr>
      <w:rFonts w:ascii="Calibri" w:hAnsi="Calibri"/>
      <w:sz w:val="22"/>
    </w:rPr>
  </w:style>
  <w:style w:type="paragraph" w:customStyle="1" w:styleId="pindented1">
    <w:name w:val="pindented1"/>
    <w:basedOn w:val="Normal"/>
    <w:rsid w:val="003002AF"/>
    <w:pPr>
      <w:spacing w:after="0" w:line="288" w:lineRule="auto"/>
      <w:ind w:firstLine="480"/>
    </w:pPr>
    <w:rPr>
      <w:rFonts w:ascii="Arial" w:eastAsia="Times New Roman" w:hAnsi="Arial" w:cs="Arial"/>
      <w:color w:val="000000"/>
      <w:sz w:val="20"/>
      <w:szCs w:val="20"/>
    </w:rPr>
  </w:style>
  <w:style w:type="character" w:customStyle="1" w:styleId="ListParagraphChar">
    <w:name w:val="List Paragraph Char"/>
    <w:link w:val="ListParagraph"/>
    <w:uiPriority w:val="34"/>
    <w:locked/>
    <w:rsid w:val="008D3518"/>
    <w:rPr>
      <w:sz w:val="22"/>
      <w:szCs w:val="22"/>
    </w:rPr>
  </w:style>
  <w:style w:type="character" w:customStyle="1" w:styleId="UnresolvedMention">
    <w:name w:val="Unresolved Mention"/>
    <w:basedOn w:val="DefaultParagraphFont"/>
    <w:uiPriority w:val="99"/>
    <w:semiHidden/>
    <w:unhideWhenUsed/>
    <w:rsid w:val="001310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0627">
      <w:bodyDiv w:val="1"/>
      <w:marLeft w:val="0"/>
      <w:marRight w:val="0"/>
      <w:marTop w:val="0"/>
      <w:marBottom w:val="0"/>
      <w:divBdr>
        <w:top w:val="none" w:sz="0" w:space="0" w:color="auto"/>
        <w:left w:val="none" w:sz="0" w:space="0" w:color="auto"/>
        <w:bottom w:val="none" w:sz="0" w:space="0" w:color="auto"/>
        <w:right w:val="none" w:sz="0" w:space="0" w:color="auto"/>
      </w:divBdr>
    </w:div>
    <w:div w:id="207110920">
      <w:bodyDiv w:val="1"/>
      <w:marLeft w:val="0"/>
      <w:marRight w:val="0"/>
      <w:marTop w:val="0"/>
      <w:marBottom w:val="0"/>
      <w:divBdr>
        <w:top w:val="none" w:sz="0" w:space="0" w:color="auto"/>
        <w:left w:val="none" w:sz="0" w:space="0" w:color="auto"/>
        <w:bottom w:val="none" w:sz="0" w:space="0" w:color="auto"/>
        <w:right w:val="none" w:sz="0" w:space="0" w:color="auto"/>
      </w:divBdr>
    </w:div>
    <w:div w:id="751271381">
      <w:bodyDiv w:val="1"/>
      <w:marLeft w:val="0"/>
      <w:marRight w:val="0"/>
      <w:marTop w:val="0"/>
      <w:marBottom w:val="0"/>
      <w:divBdr>
        <w:top w:val="none" w:sz="0" w:space="0" w:color="auto"/>
        <w:left w:val="none" w:sz="0" w:space="0" w:color="auto"/>
        <w:bottom w:val="none" w:sz="0" w:space="0" w:color="auto"/>
        <w:right w:val="none" w:sz="0" w:space="0" w:color="auto"/>
      </w:divBdr>
    </w:div>
    <w:div w:id="829758704">
      <w:bodyDiv w:val="1"/>
      <w:marLeft w:val="0"/>
      <w:marRight w:val="0"/>
      <w:marTop w:val="0"/>
      <w:marBottom w:val="0"/>
      <w:divBdr>
        <w:top w:val="none" w:sz="0" w:space="0" w:color="auto"/>
        <w:left w:val="none" w:sz="0" w:space="0" w:color="auto"/>
        <w:bottom w:val="none" w:sz="0" w:space="0" w:color="auto"/>
        <w:right w:val="none" w:sz="0" w:space="0" w:color="auto"/>
      </w:divBdr>
      <w:divsChild>
        <w:div w:id="296187261">
          <w:marLeft w:val="1166"/>
          <w:marRight w:val="0"/>
          <w:marTop w:val="67"/>
          <w:marBottom w:val="0"/>
          <w:divBdr>
            <w:top w:val="none" w:sz="0" w:space="0" w:color="auto"/>
            <w:left w:val="none" w:sz="0" w:space="0" w:color="auto"/>
            <w:bottom w:val="none" w:sz="0" w:space="0" w:color="auto"/>
            <w:right w:val="none" w:sz="0" w:space="0" w:color="auto"/>
          </w:divBdr>
        </w:div>
        <w:div w:id="924724967">
          <w:marLeft w:val="1166"/>
          <w:marRight w:val="0"/>
          <w:marTop w:val="67"/>
          <w:marBottom w:val="0"/>
          <w:divBdr>
            <w:top w:val="none" w:sz="0" w:space="0" w:color="auto"/>
            <w:left w:val="none" w:sz="0" w:space="0" w:color="auto"/>
            <w:bottom w:val="none" w:sz="0" w:space="0" w:color="auto"/>
            <w:right w:val="none" w:sz="0" w:space="0" w:color="auto"/>
          </w:divBdr>
        </w:div>
        <w:div w:id="1374499840">
          <w:marLeft w:val="1166"/>
          <w:marRight w:val="0"/>
          <w:marTop w:val="67"/>
          <w:marBottom w:val="0"/>
          <w:divBdr>
            <w:top w:val="none" w:sz="0" w:space="0" w:color="auto"/>
            <w:left w:val="none" w:sz="0" w:space="0" w:color="auto"/>
            <w:bottom w:val="none" w:sz="0" w:space="0" w:color="auto"/>
            <w:right w:val="none" w:sz="0" w:space="0" w:color="auto"/>
          </w:divBdr>
        </w:div>
        <w:div w:id="1439563938">
          <w:marLeft w:val="547"/>
          <w:marRight w:val="0"/>
          <w:marTop w:val="115"/>
          <w:marBottom w:val="0"/>
          <w:divBdr>
            <w:top w:val="none" w:sz="0" w:space="0" w:color="auto"/>
            <w:left w:val="none" w:sz="0" w:space="0" w:color="auto"/>
            <w:bottom w:val="none" w:sz="0" w:space="0" w:color="auto"/>
            <w:right w:val="none" w:sz="0" w:space="0" w:color="auto"/>
          </w:divBdr>
        </w:div>
        <w:div w:id="1652367823">
          <w:marLeft w:val="1166"/>
          <w:marRight w:val="0"/>
          <w:marTop w:val="67"/>
          <w:marBottom w:val="0"/>
          <w:divBdr>
            <w:top w:val="none" w:sz="0" w:space="0" w:color="auto"/>
            <w:left w:val="none" w:sz="0" w:space="0" w:color="auto"/>
            <w:bottom w:val="none" w:sz="0" w:space="0" w:color="auto"/>
            <w:right w:val="none" w:sz="0" w:space="0" w:color="auto"/>
          </w:divBdr>
        </w:div>
        <w:div w:id="1980763442">
          <w:marLeft w:val="1166"/>
          <w:marRight w:val="0"/>
          <w:marTop w:val="67"/>
          <w:marBottom w:val="0"/>
          <w:divBdr>
            <w:top w:val="none" w:sz="0" w:space="0" w:color="auto"/>
            <w:left w:val="none" w:sz="0" w:space="0" w:color="auto"/>
            <w:bottom w:val="none" w:sz="0" w:space="0" w:color="auto"/>
            <w:right w:val="none" w:sz="0" w:space="0" w:color="auto"/>
          </w:divBdr>
        </w:div>
        <w:div w:id="2013414316">
          <w:marLeft w:val="1166"/>
          <w:marRight w:val="0"/>
          <w:marTop w:val="67"/>
          <w:marBottom w:val="0"/>
          <w:divBdr>
            <w:top w:val="none" w:sz="0" w:space="0" w:color="auto"/>
            <w:left w:val="none" w:sz="0" w:space="0" w:color="auto"/>
            <w:bottom w:val="none" w:sz="0" w:space="0" w:color="auto"/>
            <w:right w:val="none" w:sz="0" w:space="0" w:color="auto"/>
          </w:divBdr>
        </w:div>
      </w:divsChild>
    </w:div>
    <w:div w:id="890045398">
      <w:bodyDiv w:val="1"/>
      <w:marLeft w:val="0"/>
      <w:marRight w:val="0"/>
      <w:marTop w:val="0"/>
      <w:marBottom w:val="0"/>
      <w:divBdr>
        <w:top w:val="none" w:sz="0" w:space="0" w:color="auto"/>
        <w:left w:val="none" w:sz="0" w:space="0" w:color="auto"/>
        <w:bottom w:val="none" w:sz="0" w:space="0" w:color="auto"/>
        <w:right w:val="none" w:sz="0" w:space="0" w:color="auto"/>
      </w:divBdr>
    </w:div>
    <w:div w:id="1352953070">
      <w:bodyDiv w:val="1"/>
      <w:marLeft w:val="0"/>
      <w:marRight w:val="0"/>
      <w:marTop w:val="0"/>
      <w:marBottom w:val="0"/>
      <w:divBdr>
        <w:top w:val="none" w:sz="0" w:space="0" w:color="auto"/>
        <w:left w:val="none" w:sz="0" w:space="0" w:color="auto"/>
        <w:bottom w:val="none" w:sz="0" w:space="0" w:color="auto"/>
        <w:right w:val="none" w:sz="0" w:space="0" w:color="auto"/>
      </w:divBdr>
    </w:div>
    <w:div w:id="1529103449">
      <w:bodyDiv w:val="1"/>
      <w:marLeft w:val="0"/>
      <w:marRight w:val="0"/>
      <w:marTop w:val="0"/>
      <w:marBottom w:val="0"/>
      <w:divBdr>
        <w:top w:val="none" w:sz="0" w:space="0" w:color="auto"/>
        <w:left w:val="none" w:sz="0" w:space="0" w:color="auto"/>
        <w:bottom w:val="none" w:sz="0" w:space="0" w:color="auto"/>
        <w:right w:val="none" w:sz="0" w:space="0" w:color="auto"/>
      </w:divBdr>
      <w:divsChild>
        <w:div w:id="932401317">
          <w:marLeft w:val="0"/>
          <w:marRight w:val="0"/>
          <w:marTop w:val="0"/>
          <w:marBottom w:val="0"/>
          <w:divBdr>
            <w:top w:val="single" w:sz="4" w:space="0" w:color="000000"/>
            <w:left w:val="single" w:sz="4" w:space="0" w:color="000000"/>
            <w:bottom w:val="single" w:sz="4" w:space="0" w:color="000000"/>
            <w:right w:val="single" w:sz="4" w:space="0" w:color="000000"/>
          </w:divBdr>
          <w:divsChild>
            <w:div w:id="1213006773">
              <w:marLeft w:val="0"/>
              <w:marRight w:val="0"/>
              <w:marTop w:val="0"/>
              <w:marBottom w:val="0"/>
              <w:divBdr>
                <w:top w:val="none" w:sz="0" w:space="0" w:color="auto"/>
                <w:left w:val="none" w:sz="0" w:space="0" w:color="auto"/>
                <w:bottom w:val="none" w:sz="0" w:space="0" w:color="auto"/>
                <w:right w:val="none" w:sz="0" w:space="0" w:color="auto"/>
              </w:divBdr>
              <w:divsChild>
                <w:div w:id="153631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RADP_East_Inbox@dai.com" TargetMode="External"/><Relationship Id="rId13" Type="http://schemas.openxmlformats.org/officeDocument/2006/relationships/header" Target="header1.xml"/><Relationship Id="rId18" Type="http://schemas.openxmlformats.org/officeDocument/2006/relationships/hyperlink" Target="http://uscode.house.gov/" TargetMode="External"/><Relationship Id="rId26" Type="http://schemas.openxmlformats.org/officeDocument/2006/relationships/hyperlink" Target="http://www.treas.gov/offices/enforcement/ofac/sdn" TargetMode="External"/><Relationship Id="rId3" Type="http://schemas.openxmlformats.org/officeDocument/2006/relationships/styles" Target="styles.xml"/><Relationship Id="rId21" Type="http://schemas.openxmlformats.org/officeDocument/2006/relationships/hyperlink" Target="http://www.state.gov/j/tip/" TargetMode="External"/><Relationship Id="rId7" Type="http://schemas.openxmlformats.org/officeDocument/2006/relationships/endnotes" Target="endnotes.xml"/><Relationship Id="rId12" Type="http://schemas.openxmlformats.org/officeDocument/2006/relationships/hyperlink" Target="http://www.usaid.gov/policy/ads/300/310mab.pdf" TargetMode="External"/><Relationship Id="rId17" Type="http://schemas.openxmlformats.org/officeDocument/2006/relationships/hyperlink" Target="http://uscode.house.gov/" TargetMode="External"/><Relationship Id="rId25" Type="http://schemas.openxmlformats.org/officeDocument/2006/relationships/hyperlink" Target="http://untreaty.un.org/English%20/Terrorism.asp" TargetMode="External"/><Relationship Id="rId2" Type="http://schemas.openxmlformats.org/officeDocument/2006/relationships/numbering" Target="numbering.xml"/><Relationship Id="rId16" Type="http://schemas.openxmlformats.org/officeDocument/2006/relationships/hyperlink" Target="http://uscode.house.gov/" TargetMode="External"/><Relationship Id="rId20" Type="http://schemas.openxmlformats.org/officeDocument/2006/relationships/hyperlink" Target="http://uscode.house.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aid.gov/policy/ads/300/310maa.pdf" TargetMode="External"/><Relationship Id="rId24" Type="http://schemas.openxmlformats.org/officeDocument/2006/relationships/hyperlink" Target="http://www.un.org/Docs/sc/committees/1267/1267ListEng.htm" TargetMode="External"/><Relationship Id="rId5" Type="http://schemas.openxmlformats.org/officeDocument/2006/relationships/webSettings" Target="webSettings.xml"/><Relationship Id="rId15" Type="http://schemas.openxmlformats.org/officeDocument/2006/relationships/hyperlink" Target="https://www.acquisition.gov/sites/default/files/current/far/html/Subpart%202_1.html" TargetMode="External"/><Relationship Id="rId23" Type="http://schemas.openxmlformats.org/officeDocument/2006/relationships/hyperlink" Target="http://www.treas.gov/offices/eotffc/ofac/sdn/t11sdn.pdf" TargetMode="External"/><Relationship Id="rId28" Type="http://schemas.openxmlformats.org/officeDocument/2006/relationships/hyperlink" Target="mailto:ProcurementRADP_East_Inbox@dai.com" TargetMode="External"/><Relationship Id="rId10" Type="http://schemas.openxmlformats.org/officeDocument/2006/relationships/hyperlink" Target="mailto:ProcurementRADP_East_Inbox@dai.com" TargetMode="External"/><Relationship Id="rId19" Type="http://schemas.openxmlformats.org/officeDocument/2006/relationships/hyperlink" Target="https://www.acquisition.gov/sites/default/files/current/far/html/52_200_206.html" TargetMode="External"/><Relationship Id="rId4" Type="http://schemas.openxmlformats.org/officeDocument/2006/relationships/settings" Target="settings.xml"/><Relationship Id="rId9" Type="http://schemas.openxmlformats.org/officeDocument/2006/relationships/hyperlink" Target="mailto:ProcurementRADP_East@dai.com" TargetMode="External"/><Relationship Id="rId14" Type="http://schemas.openxmlformats.org/officeDocument/2006/relationships/hyperlink" Target="http://www.SAM.gov" TargetMode="External"/><Relationship Id="rId22" Type="http://schemas.openxmlformats.org/officeDocument/2006/relationships/hyperlink" Target="http://www.state.gov/j/tip/" TargetMode="External"/><Relationship Id="rId27" Type="http://schemas.openxmlformats.org/officeDocument/2006/relationships/hyperlink" Target="http://www.treas.gov/offices/enforcement/ofac"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B1AAC-450D-4010-A901-91A116FD1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21</Pages>
  <Words>8029</Words>
  <Characters>45767</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53689</CharactersWithSpaces>
  <SharedDoc>false</SharedDoc>
  <HLinks>
    <vt:vector size="18" baseType="variant">
      <vt:variant>
        <vt:i4>2359408</vt:i4>
      </vt:variant>
      <vt:variant>
        <vt:i4>6</vt:i4>
      </vt:variant>
      <vt:variant>
        <vt:i4>0</vt:i4>
      </vt:variant>
      <vt:variant>
        <vt:i4>5</vt:i4>
      </vt:variant>
      <vt:variant>
        <vt:lpwstr>http://www.sam.gov/</vt:lpwstr>
      </vt:variant>
      <vt:variant>
        <vt:lpwstr/>
      </vt:variant>
      <vt:variant>
        <vt:i4>6684770</vt:i4>
      </vt:variant>
      <vt:variant>
        <vt:i4>3</vt:i4>
      </vt:variant>
      <vt:variant>
        <vt:i4>0</vt:i4>
      </vt:variant>
      <vt:variant>
        <vt:i4>5</vt:i4>
      </vt:variant>
      <vt:variant>
        <vt:lpwstr>http://www.usaid.gov/policy/ads/300/310mab.pdf</vt:lpwstr>
      </vt:variant>
      <vt:variant>
        <vt:lpwstr/>
      </vt:variant>
      <vt:variant>
        <vt:i4>6619234</vt:i4>
      </vt:variant>
      <vt:variant>
        <vt:i4>0</vt:i4>
      </vt:variant>
      <vt:variant>
        <vt:i4>0</vt:i4>
      </vt:variant>
      <vt:variant>
        <vt:i4>5</vt:i4>
      </vt:variant>
      <vt:variant>
        <vt:lpwstr>http://www.usaid.gov/policy/ads/300/310maa.pdf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Fuad Zaru</dc:creator>
  <cp:keywords/>
  <cp:lastModifiedBy>Hayatullah Safi</cp:lastModifiedBy>
  <cp:revision>8</cp:revision>
  <cp:lastPrinted>2013-10-17T17:02:00Z</cp:lastPrinted>
  <dcterms:created xsi:type="dcterms:W3CDTF">2020-04-01T11:03:00Z</dcterms:created>
  <dcterms:modified xsi:type="dcterms:W3CDTF">2020-04-06T07:32:00Z</dcterms:modified>
</cp:coreProperties>
</file>