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D6" w:rsidRPr="000C758A" w:rsidRDefault="008F4AD6" w:rsidP="00620243">
      <w:pPr>
        <w:pStyle w:val="Heading1"/>
        <w:numPr>
          <w:ilvl w:val="0"/>
          <w:numId w:val="0"/>
        </w:numPr>
        <w:ind w:left="-540"/>
        <w:rPr>
          <w:rFonts w:ascii="Calibri" w:hAnsi="Calibri"/>
          <w:sz w:val="26"/>
          <w:szCs w:val="26"/>
        </w:rPr>
      </w:pPr>
      <w:r w:rsidRPr="000C758A">
        <w:rPr>
          <w:rFonts w:ascii="Calibri" w:hAnsi="Calibri"/>
          <w:sz w:val="26"/>
          <w:szCs w:val="26"/>
        </w:rPr>
        <w:t xml:space="preserve">Synopsis of the </w:t>
      </w:r>
      <w:r w:rsidR="008C4DEE" w:rsidRPr="000C758A">
        <w:rPr>
          <w:rFonts w:ascii="Calibri" w:hAnsi="Calibri"/>
          <w:sz w:val="26"/>
          <w:szCs w:val="26"/>
        </w:rPr>
        <w:t>Request for Quotation</w:t>
      </w:r>
      <w:r w:rsidR="00CA4BE8" w:rsidRPr="000C758A">
        <w:rPr>
          <w:rFonts w:ascii="Calibri" w:hAnsi="Calibri"/>
          <w:sz w:val="26"/>
          <w:szCs w:val="26"/>
        </w:rPr>
        <w:t xml:space="preserve"> </w:t>
      </w:r>
    </w:p>
    <w:p w:rsidR="005A1E88" w:rsidRPr="003F01A2" w:rsidRDefault="00AF3810" w:rsidP="0094162A">
      <w:pPr>
        <w:spacing w:after="0" w:line="240" w:lineRule="auto"/>
        <w:ind w:left="-540"/>
        <w:rPr>
          <w:sz w:val="20"/>
          <w:szCs w:val="20"/>
        </w:rPr>
      </w:pPr>
      <w:r w:rsidRPr="009545BD">
        <w:rPr>
          <w:sz w:val="20"/>
          <w:szCs w:val="20"/>
        </w:rPr>
        <w:t>DAI, implementer of the USAID-</w:t>
      </w:r>
      <w:r w:rsidR="009954D3" w:rsidRPr="009545BD">
        <w:rPr>
          <w:sz w:val="20"/>
          <w:szCs w:val="20"/>
        </w:rPr>
        <w:t xml:space="preserve">funded </w:t>
      </w:r>
      <w:r w:rsidR="005D42CD" w:rsidRPr="009545BD">
        <w:rPr>
          <w:sz w:val="20"/>
          <w:szCs w:val="20"/>
        </w:rPr>
        <w:t>RADP-E</w:t>
      </w:r>
      <w:r w:rsidRPr="009545BD">
        <w:rPr>
          <w:sz w:val="20"/>
          <w:szCs w:val="20"/>
        </w:rPr>
        <w:t xml:space="preserve"> </w:t>
      </w:r>
      <w:r w:rsidR="003416D2" w:rsidRPr="009545BD">
        <w:rPr>
          <w:sz w:val="20"/>
          <w:szCs w:val="20"/>
        </w:rPr>
        <w:t>Project</w:t>
      </w:r>
      <w:r w:rsidR="009954D3" w:rsidRPr="009545BD">
        <w:rPr>
          <w:sz w:val="20"/>
          <w:szCs w:val="20"/>
        </w:rPr>
        <w:t xml:space="preserve"> invites qualified vendors to submit </w:t>
      </w:r>
      <w:r w:rsidR="009E16B4" w:rsidRPr="009545BD">
        <w:rPr>
          <w:sz w:val="20"/>
          <w:szCs w:val="20"/>
        </w:rPr>
        <w:t>quotations for</w:t>
      </w:r>
      <w:r w:rsidR="00DE4D4B" w:rsidRPr="009545BD">
        <w:rPr>
          <w:sz w:val="20"/>
          <w:szCs w:val="20"/>
        </w:rPr>
        <w:t xml:space="preserve"> </w:t>
      </w:r>
      <w:r w:rsidR="009E16B4" w:rsidRPr="009545BD">
        <w:rPr>
          <w:sz w:val="20"/>
          <w:szCs w:val="20"/>
        </w:rPr>
        <w:t>the</w:t>
      </w:r>
      <w:r w:rsidR="00024F07">
        <w:rPr>
          <w:sz w:val="20"/>
          <w:szCs w:val="20"/>
        </w:rPr>
        <w:t xml:space="preserve"> </w:t>
      </w:r>
      <w:r w:rsidR="00F90F35" w:rsidRPr="00F90F35">
        <w:rPr>
          <w:sz w:val="20"/>
          <w:szCs w:val="20"/>
        </w:rPr>
        <w:t>Display Case Refrigerator, Deep Freezers</w:t>
      </w:r>
      <w:r w:rsidR="0094162A">
        <w:rPr>
          <w:sz w:val="20"/>
          <w:szCs w:val="20"/>
        </w:rPr>
        <w:t xml:space="preserve"> and</w:t>
      </w:r>
      <w:r w:rsidR="00F90F35" w:rsidRPr="00F90F35">
        <w:rPr>
          <w:sz w:val="20"/>
          <w:szCs w:val="20"/>
        </w:rPr>
        <w:t xml:space="preserve"> Aluminum Milk Collection Drums</w:t>
      </w:r>
      <w:r w:rsidR="00F90F35">
        <w:rPr>
          <w:sz w:val="20"/>
          <w:szCs w:val="20"/>
        </w:rPr>
        <w:t xml:space="preserve"> as below</w:t>
      </w:r>
      <w:r w:rsidR="0094162A">
        <w:rPr>
          <w:sz w:val="20"/>
          <w:szCs w:val="20"/>
        </w:rPr>
        <w:t>:</w:t>
      </w:r>
    </w:p>
    <w:p w:rsidR="009954D3" w:rsidRPr="008057D2" w:rsidRDefault="00CB2AC8" w:rsidP="0094162A">
      <w:pPr>
        <w:spacing w:after="120" w:line="240" w:lineRule="atLeast"/>
        <w:ind w:left="-540"/>
        <w:rPr>
          <w:rFonts w:ascii="Gill Sans MT" w:eastAsia="Times New Roman" w:hAnsi="Gill Sans MT"/>
          <w:b/>
          <w:bCs/>
          <w:color w:val="5B9BD5"/>
          <w:sz w:val="24"/>
          <w:szCs w:val="24"/>
        </w:rPr>
      </w:pPr>
      <w:r>
        <w:rPr>
          <w:sz w:val="20"/>
          <w:szCs w:val="20"/>
        </w:rPr>
        <w:t xml:space="preserve"> </w:t>
      </w: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694"/>
      </w:tblGrid>
      <w:tr w:rsidR="008F4AD6" w:rsidRPr="000C758A" w:rsidTr="00620243">
        <w:trPr>
          <w:trHeight w:val="386"/>
        </w:trPr>
        <w:tc>
          <w:tcPr>
            <w:tcW w:w="1086" w:type="pct"/>
          </w:tcPr>
          <w:p w:rsidR="008F4AD6" w:rsidRPr="000C758A" w:rsidRDefault="008C4DEE" w:rsidP="005850CC">
            <w:pPr>
              <w:pStyle w:val="ListParagraph"/>
              <w:numPr>
                <w:ilvl w:val="0"/>
                <w:numId w:val="3"/>
              </w:numPr>
              <w:spacing w:after="0" w:line="240" w:lineRule="auto"/>
              <w:ind w:left="342" w:hanging="342"/>
            </w:pPr>
            <w:r w:rsidRPr="000C758A">
              <w:t>RFQ No.</w:t>
            </w:r>
            <w:r w:rsidR="008F4AD6" w:rsidRPr="000C758A">
              <w:t xml:space="preserve"> </w:t>
            </w:r>
          </w:p>
        </w:tc>
        <w:tc>
          <w:tcPr>
            <w:tcW w:w="3914" w:type="pct"/>
          </w:tcPr>
          <w:p w:rsidR="008F4AD6" w:rsidRPr="00A67D7A" w:rsidRDefault="00155CC2" w:rsidP="00B16F39">
            <w:pPr>
              <w:spacing w:after="0" w:line="240" w:lineRule="auto"/>
              <w:rPr>
                <w:b/>
                <w:bCs/>
                <w:sz w:val="20"/>
                <w:szCs w:val="20"/>
              </w:rPr>
            </w:pPr>
            <w:r w:rsidRPr="00620243">
              <w:rPr>
                <w:b/>
                <w:bCs/>
                <w:sz w:val="20"/>
                <w:szCs w:val="20"/>
              </w:rPr>
              <w:t>RFQ-RADP</w:t>
            </w:r>
            <w:r w:rsidR="00AD1CF2" w:rsidRPr="00620243">
              <w:rPr>
                <w:b/>
                <w:bCs/>
                <w:sz w:val="20"/>
                <w:szCs w:val="20"/>
              </w:rPr>
              <w:t>-</w:t>
            </w:r>
            <w:r w:rsidR="00327F59" w:rsidRPr="00620243">
              <w:rPr>
                <w:b/>
                <w:bCs/>
                <w:sz w:val="20"/>
                <w:szCs w:val="20"/>
              </w:rPr>
              <w:t>E-KBL</w:t>
            </w:r>
            <w:r w:rsidR="009F63CA" w:rsidRPr="00620243">
              <w:rPr>
                <w:b/>
                <w:bCs/>
                <w:sz w:val="20"/>
                <w:szCs w:val="20"/>
              </w:rPr>
              <w:t>-</w:t>
            </w:r>
            <w:r w:rsidR="00696186" w:rsidRPr="00620243">
              <w:rPr>
                <w:b/>
                <w:bCs/>
                <w:sz w:val="20"/>
                <w:szCs w:val="20"/>
              </w:rPr>
              <w:t>20-</w:t>
            </w:r>
            <w:r w:rsidR="00B44927" w:rsidRPr="00620243">
              <w:rPr>
                <w:b/>
                <w:bCs/>
                <w:sz w:val="20"/>
                <w:szCs w:val="20"/>
              </w:rPr>
              <w:t>00</w:t>
            </w:r>
            <w:r w:rsidR="00C71150">
              <w:rPr>
                <w:b/>
                <w:bCs/>
                <w:sz w:val="20"/>
                <w:szCs w:val="20"/>
              </w:rPr>
              <w:t>40</w:t>
            </w:r>
          </w:p>
        </w:tc>
      </w:tr>
      <w:tr w:rsidR="008F4AD6" w:rsidRPr="000C758A" w:rsidTr="00620243">
        <w:trPr>
          <w:trHeight w:val="188"/>
        </w:trPr>
        <w:tc>
          <w:tcPr>
            <w:tcW w:w="1086" w:type="pct"/>
          </w:tcPr>
          <w:p w:rsidR="008F4AD6" w:rsidRPr="000C758A" w:rsidRDefault="008F4AD6" w:rsidP="005850CC">
            <w:pPr>
              <w:pStyle w:val="ListParagraph"/>
              <w:numPr>
                <w:ilvl w:val="0"/>
                <w:numId w:val="3"/>
              </w:numPr>
              <w:spacing w:after="0" w:line="240" w:lineRule="auto"/>
              <w:ind w:left="342" w:hanging="342"/>
            </w:pPr>
            <w:r w:rsidRPr="000C758A">
              <w:t>Issue Date</w:t>
            </w:r>
          </w:p>
        </w:tc>
        <w:tc>
          <w:tcPr>
            <w:tcW w:w="3914" w:type="pct"/>
          </w:tcPr>
          <w:p w:rsidR="00155CC2" w:rsidRPr="00E564E4" w:rsidRDefault="00852D8D" w:rsidP="0094162A">
            <w:pPr>
              <w:spacing w:after="0" w:line="240" w:lineRule="auto"/>
              <w:rPr>
                <w:b/>
                <w:bCs/>
                <w:sz w:val="20"/>
                <w:szCs w:val="20"/>
                <w:highlight w:val="yellow"/>
              </w:rPr>
            </w:pPr>
            <w:r>
              <w:rPr>
                <w:b/>
                <w:bCs/>
                <w:sz w:val="20"/>
                <w:szCs w:val="20"/>
              </w:rPr>
              <w:t xml:space="preserve">October </w:t>
            </w:r>
            <w:r w:rsidR="0094162A">
              <w:rPr>
                <w:b/>
                <w:bCs/>
                <w:sz w:val="20"/>
                <w:szCs w:val="20"/>
              </w:rPr>
              <w:t>1</w:t>
            </w:r>
            <w:r w:rsidR="00243227">
              <w:rPr>
                <w:b/>
                <w:bCs/>
                <w:sz w:val="20"/>
                <w:szCs w:val="20"/>
              </w:rPr>
              <w:t>4</w:t>
            </w:r>
            <w:r w:rsidR="00B44927">
              <w:rPr>
                <w:b/>
                <w:bCs/>
                <w:sz w:val="20"/>
                <w:szCs w:val="20"/>
              </w:rPr>
              <w:t>, 2020</w:t>
            </w:r>
          </w:p>
        </w:tc>
      </w:tr>
      <w:tr w:rsidR="005A1E88" w:rsidRPr="000C758A" w:rsidTr="00620243">
        <w:tc>
          <w:tcPr>
            <w:tcW w:w="1086" w:type="pct"/>
          </w:tcPr>
          <w:p w:rsidR="005A1E88" w:rsidRPr="000C758A" w:rsidRDefault="005A1E88" w:rsidP="005A1E88">
            <w:pPr>
              <w:pStyle w:val="ListParagraph"/>
              <w:numPr>
                <w:ilvl w:val="0"/>
                <w:numId w:val="3"/>
              </w:numPr>
              <w:spacing w:after="0" w:line="240" w:lineRule="auto"/>
              <w:ind w:left="342" w:hanging="342"/>
            </w:pPr>
            <w:r w:rsidRPr="000C758A">
              <w:t>Title</w:t>
            </w:r>
          </w:p>
        </w:tc>
        <w:tc>
          <w:tcPr>
            <w:tcW w:w="3914" w:type="pct"/>
            <w:shd w:val="clear" w:color="auto" w:fill="auto"/>
          </w:tcPr>
          <w:p w:rsidR="005A1E88" w:rsidRPr="003F01A2" w:rsidRDefault="00A525EF" w:rsidP="005A1E88">
            <w:pPr>
              <w:spacing w:after="0" w:line="240" w:lineRule="auto"/>
              <w:rPr>
                <w:sz w:val="20"/>
                <w:szCs w:val="20"/>
              </w:rPr>
            </w:pPr>
            <w:r w:rsidRPr="00F90F35">
              <w:rPr>
                <w:sz w:val="20"/>
                <w:szCs w:val="20"/>
              </w:rPr>
              <w:t>Display Case Refrigerator</w:t>
            </w:r>
            <w:r w:rsidR="00F90F35">
              <w:rPr>
                <w:sz w:val="20"/>
                <w:szCs w:val="20"/>
              </w:rPr>
              <w:t>s</w:t>
            </w:r>
            <w:r w:rsidRPr="00F90F35">
              <w:rPr>
                <w:sz w:val="20"/>
                <w:szCs w:val="20"/>
              </w:rPr>
              <w:t>, Deep Freezers</w:t>
            </w:r>
            <w:r w:rsidR="0094162A">
              <w:rPr>
                <w:sz w:val="20"/>
                <w:szCs w:val="20"/>
              </w:rPr>
              <w:t xml:space="preserve"> and</w:t>
            </w:r>
            <w:r w:rsidR="00F90F35" w:rsidRPr="00F90F35">
              <w:rPr>
                <w:sz w:val="20"/>
                <w:szCs w:val="20"/>
              </w:rPr>
              <w:t xml:space="preserve"> Aluminum Milk Collection Drums</w:t>
            </w:r>
          </w:p>
        </w:tc>
      </w:tr>
      <w:tr w:rsidR="008F4AD6" w:rsidRPr="000C758A" w:rsidTr="00620243">
        <w:trPr>
          <w:trHeight w:val="827"/>
        </w:trPr>
        <w:tc>
          <w:tcPr>
            <w:tcW w:w="1086" w:type="pct"/>
          </w:tcPr>
          <w:p w:rsidR="008F4AD6" w:rsidRPr="000C758A" w:rsidRDefault="008F4AD6" w:rsidP="005850CC">
            <w:pPr>
              <w:pStyle w:val="ListParagraph"/>
              <w:numPr>
                <w:ilvl w:val="0"/>
                <w:numId w:val="3"/>
              </w:numPr>
              <w:spacing w:after="0" w:line="240" w:lineRule="auto"/>
              <w:ind w:left="342" w:hanging="342"/>
            </w:pPr>
            <w:r w:rsidRPr="000C758A">
              <w:t xml:space="preserve">Issuing Office &amp; Email/Physical Address for Submission of </w:t>
            </w:r>
            <w:r w:rsidR="009734C6" w:rsidRPr="000C758A">
              <w:t>Quotes</w:t>
            </w:r>
          </w:p>
        </w:tc>
        <w:tc>
          <w:tcPr>
            <w:tcW w:w="3914" w:type="pct"/>
          </w:tcPr>
          <w:p w:rsidR="008F4AD6" w:rsidRPr="000C758A" w:rsidRDefault="00C86C41" w:rsidP="009734C6">
            <w:pPr>
              <w:spacing w:after="0" w:line="240" w:lineRule="auto"/>
              <w:rPr>
                <w:sz w:val="20"/>
                <w:szCs w:val="20"/>
              </w:rPr>
            </w:pPr>
            <w:r w:rsidRPr="000C758A">
              <w:rPr>
                <w:sz w:val="20"/>
                <w:szCs w:val="20"/>
              </w:rPr>
              <w:t>RADP-E</w:t>
            </w:r>
            <w:r w:rsidR="00DE4D4B" w:rsidRPr="000C758A">
              <w:rPr>
                <w:sz w:val="20"/>
                <w:szCs w:val="20"/>
              </w:rPr>
              <w:t xml:space="preserve"> procurement</w:t>
            </w:r>
          </w:p>
          <w:p w:rsidR="00DE4D4B" w:rsidRPr="000C758A" w:rsidRDefault="00DE4D4B" w:rsidP="009734C6">
            <w:pPr>
              <w:spacing w:after="0" w:line="240" w:lineRule="auto"/>
              <w:rPr>
                <w:sz w:val="20"/>
                <w:szCs w:val="20"/>
              </w:rPr>
            </w:pPr>
            <w:r w:rsidRPr="000C758A">
              <w:rPr>
                <w:sz w:val="20"/>
                <w:szCs w:val="20"/>
              </w:rPr>
              <w:t>Submit electronic copy to:</w:t>
            </w:r>
          </w:p>
          <w:p w:rsidR="00A824F3" w:rsidRPr="000C758A" w:rsidRDefault="00AA6365" w:rsidP="009734C6">
            <w:pPr>
              <w:spacing w:after="0" w:line="240" w:lineRule="auto"/>
              <w:rPr>
                <w:sz w:val="20"/>
                <w:szCs w:val="20"/>
              </w:rPr>
            </w:pPr>
            <w:hyperlink r:id="rId8" w:history="1">
              <w:r w:rsidR="00AF3810" w:rsidRPr="000C758A">
                <w:rPr>
                  <w:rStyle w:val="Hyperlink"/>
                  <w:sz w:val="20"/>
                  <w:szCs w:val="20"/>
                  <w:u w:val="none"/>
                </w:rPr>
                <w:t>ProcurementRADP_East_Inbox@dai.com</w:t>
              </w:r>
            </w:hyperlink>
          </w:p>
          <w:p w:rsidR="00A824F3" w:rsidRPr="000C758A" w:rsidRDefault="00A824F3" w:rsidP="00A824F3">
            <w:pPr>
              <w:spacing w:after="0" w:line="240" w:lineRule="auto"/>
              <w:rPr>
                <w:sz w:val="20"/>
                <w:szCs w:val="20"/>
              </w:rPr>
            </w:pPr>
            <w:r w:rsidRPr="000C758A">
              <w:rPr>
                <w:sz w:val="20"/>
                <w:szCs w:val="20"/>
              </w:rPr>
              <w:t xml:space="preserve">Or hard copy (sealed envelope) to RADP-E office </w:t>
            </w:r>
          </w:p>
          <w:p w:rsidR="00AF3810" w:rsidRPr="000C758A" w:rsidRDefault="00A824F3" w:rsidP="00A824F3">
            <w:pPr>
              <w:spacing w:after="0" w:line="240" w:lineRule="auto"/>
              <w:rPr>
                <w:sz w:val="20"/>
                <w:szCs w:val="20"/>
                <w:highlight w:val="yellow"/>
              </w:rPr>
            </w:pPr>
            <w:r w:rsidRPr="000C758A">
              <w:rPr>
                <w:sz w:val="20"/>
                <w:szCs w:val="20"/>
              </w:rPr>
              <w:t xml:space="preserve">Darya Village, </w:t>
            </w:r>
            <w:proofErr w:type="spellStart"/>
            <w:r w:rsidRPr="000C758A">
              <w:rPr>
                <w:sz w:val="20"/>
                <w:szCs w:val="20"/>
              </w:rPr>
              <w:t>Hawashenasy</w:t>
            </w:r>
            <w:proofErr w:type="spellEnd"/>
            <w:r w:rsidRPr="000C758A">
              <w:rPr>
                <w:sz w:val="20"/>
                <w:szCs w:val="20"/>
              </w:rPr>
              <w:t xml:space="preserve"> road, </w:t>
            </w:r>
            <w:proofErr w:type="spellStart"/>
            <w:r w:rsidRPr="000C758A">
              <w:rPr>
                <w:sz w:val="20"/>
                <w:szCs w:val="20"/>
              </w:rPr>
              <w:t>Khwaja</w:t>
            </w:r>
            <w:proofErr w:type="spellEnd"/>
            <w:r w:rsidRPr="000C758A">
              <w:rPr>
                <w:sz w:val="20"/>
                <w:szCs w:val="20"/>
              </w:rPr>
              <w:t xml:space="preserve"> </w:t>
            </w:r>
            <w:proofErr w:type="spellStart"/>
            <w:r w:rsidRPr="000C758A">
              <w:rPr>
                <w:sz w:val="20"/>
                <w:szCs w:val="20"/>
              </w:rPr>
              <w:t>Rawash</w:t>
            </w:r>
            <w:proofErr w:type="spellEnd"/>
            <w:r w:rsidRPr="000C758A">
              <w:rPr>
                <w:sz w:val="20"/>
                <w:szCs w:val="20"/>
              </w:rPr>
              <w:t xml:space="preserve"> Kabul.</w:t>
            </w:r>
            <w:r w:rsidR="00AF3810" w:rsidRPr="000C758A">
              <w:rPr>
                <w:sz w:val="20"/>
                <w:szCs w:val="20"/>
              </w:rPr>
              <w:t xml:space="preserve"> </w:t>
            </w:r>
          </w:p>
        </w:tc>
      </w:tr>
      <w:tr w:rsidR="00C347D2" w:rsidRPr="000C758A" w:rsidTr="00620243">
        <w:trPr>
          <w:trHeight w:val="359"/>
        </w:trPr>
        <w:tc>
          <w:tcPr>
            <w:tcW w:w="1086" w:type="pct"/>
          </w:tcPr>
          <w:p w:rsidR="00C347D2" w:rsidRPr="000C758A" w:rsidRDefault="00C347D2" w:rsidP="005850CC">
            <w:pPr>
              <w:pStyle w:val="ListParagraph"/>
              <w:numPr>
                <w:ilvl w:val="0"/>
                <w:numId w:val="3"/>
              </w:numPr>
              <w:spacing w:after="0" w:line="240" w:lineRule="auto"/>
              <w:ind w:left="342" w:hanging="342"/>
            </w:pPr>
            <w:r w:rsidRPr="000C758A">
              <w:t>Deadline for Receipt of Quotes.</w:t>
            </w:r>
          </w:p>
        </w:tc>
        <w:tc>
          <w:tcPr>
            <w:tcW w:w="3914" w:type="pct"/>
          </w:tcPr>
          <w:p w:rsidR="00C347D2" w:rsidRPr="008976AF" w:rsidRDefault="007E5904" w:rsidP="00267F7F">
            <w:pPr>
              <w:spacing w:after="0" w:line="240" w:lineRule="auto"/>
              <w:rPr>
                <w:b/>
                <w:bCs/>
                <w:sz w:val="20"/>
                <w:szCs w:val="20"/>
              </w:rPr>
            </w:pPr>
            <w:r>
              <w:rPr>
                <w:b/>
                <w:bCs/>
                <w:sz w:val="20"/>
                <w:szCs w:val="20"/>
              </w:rPr>
              <w:t>October</w:t>
            </w:r>
            <w:r w:rsidR="003F01A2" w:rsidRPr="00620243">
              <w:rPr>
                <w:b/>
                <w:bCs/>
                <w:sz w:val="20"/>
                <w:szCs w:val="20"/>
              </w:rPr>
              <w:t xml:space="preserve"> </w:t>
            </w:r>
            <w:r w:rsidR="00C71150">
              <w:rPr>
                <w:b/>
                <w:bCs/>
                <w:sz w:val="20"/>
                <w:szCs w:val="20"/>
              </w:rPr>
              <w:t>2</w:t>
            </w:r>
            <w:r w:rsidR="000A24A3">
              <w:rPr>
                <w:b/>
                <w:bCs/>
                <w:sz w:val="20"/>
                <w:szCs w:val="20"/>
              </w:rPr>
              <w:t>4</w:t>
            </w:r>
            <w:r w:rsidR="00C2699A" w:rsidRPr="00620243">
              <w:rPr>
                <w:b/>
                <w:bCs/>
                <w:sz w:val="20"/>
                <w:szCs w:val="20"/>
              </w:rPr>
              <w:t>, 2020</w:t>
            </w:r>
            <w:r w:rsidR="00603F7A" w:rsidRPr="00620243">
              <w:rPr>
                <w:b/>
                <w:bCs/>
                <w:sz w:val="20"/>
                <w:szCs w:val="20"/>
              </w:rPr>
              <w:t xml:space="preserve">  04</w:t>
            </w:r>
            <w:r w:rsidR="00760CA1" w:rsidRPr="00620243">
              <w:rPr>
                <w:b/>
                <w:bCs/>
                <w:sz w:val="20"/>
                <w:szCs w:val="20"/>
              </w:rPr>
              <w:t>:00PM</w:t>
            </w:r>
            <w:r w:rsidR="00C9147D" w:rsidRPr="00620243">
              <w:rPr>
                <w:b/>
                <w:bCs/>
                <w:sz w:val="20"/>
                <w:szCs w:val="20"/>
              </w:rPr>
              <w:t xml:space="preserve"> (Local Time-Kabul)</w:t>
            </w:r>
          </w:p>
        </w:tc>
      </w:tr>
      <w:tr w:rsidR="00C347D2" w:rsidRPr="000C758A" w:rsidTr="00620243">
        <w:tc>
          <w:tcPr>
            <w:tcW w:w="1086" w:type="pct"/>
          </w:tcPr>
          <w:p w:rsidR="00C347D2" w:rsidRPr="000C758A" w:rsidRDefault="00C347D2" w:rsidP="005850CC">
            <w:pPr>
              <w:pStyle w:val="ListParagraph"/>
              <w:numPr>
                <w:ilvl w:val="0"/>
                <w:numId w:val="3"/>
              </w:numPr>
              <w:spacing w:after="0" w:line="240" w:lineRule="auto"/>
              <w:ind w:left="342" w:hanging="342"/>
            </w:pPr>
            <w:r w:rsidRPr="000C758A">
              <w:t xml:space="preserve">Point of Contact </w:t>
            </w:r>
          </w:p>
        </w:tc>
        <w:tc>
          <w:tcPr>
            <w:tcW w:w="3914" w:type="pct"/>
          </w:tcPr>
          <w:p w:rsidR="00C347D2" w:rsidRPr="009545BD" w:rsidRDefault="00AA6365" w:rsidP="00E51B78">
            <w:pPr>
              <w:spacing w:after="0" w:line="240" w:lineRule="auto"/>
              <w:jc w:val="both"/>
              <w:rPr>
                <w:rStyle w:val="Style4"/>
                <w:sz w:val="20"/>
                <w:szCs w:val="20"/>
              </w:rPr>
            </w:pPr>
            <w:hyperlink r:id="rId9" w:history="1">
              <w:r w:rsidR="00C347D2" w:rsidRPr="009545BD">
                <w:rPr>
                  <w:rStyle w:val="Hyperlink"/>
                  <w:sz w:val="20"/>
                  <w:szCs w:val="20"/>
                  <w:u w:val="none"/>
                </w:rPr>
                <w:t>ProcurementRADP_East@dai.com</w:t>
              </w:r>
            </w:hyperlink>
            <w:r w:rsidR="00C347D2" w:rsidRPr="009545BD">
              <w:rPr>
                <w:rStyle w:val="Style4"/>
                <w:sz w:val="20"/>
                <w:szCs w:val="20"/>
              </w:rPr>
              <w:t xml:space="preserve"> </w:t>
            </w:r>
          </w:p>
          <w:p w:rsidR="00C347D2" w:rsidRPr="002460AB" w:rsidRDefault="00C347D2" w:rsidP="00B44927">
            <w:pPr>
              <w:spacing w:after="0" w:line="240" w:lineRule="auto"/>
              <w:jc w:val="both"/>
              <w:rPr>
                <w:sz w:val="20"/>
                <w:szCs w:val="20"/>
              </w:rPr>
            </w:pPr>
            <w:r w:rsidRPr="009545BD">
              <w:rPr>
                <w:sz w:val="20"/>
                <w:szCs w:val="20"/>
              </w:rPr>
              <w:t>Note: Questions/comments regarding the RFQ should be submitted to this email ONLY by the due date/time specified in section 10. Please see section 10 for details. Questions/comments submitted to other emails (unless specified otherwise) may not be entertained.</w:t>
            </w:r>
            <w:r w:rsidRPr="009545BD">
              <w:rPr>
                <w:rStyle w:val="Style4"/>
                <w:sz w:val="20"/>
                <w:szCs w:val="20"/>
              </w:rPr>
              <w:t xml:space="preserve"> </w:t>
            </w:r>
          </w:p>
        </w:tc>
      </w:tr>
      <w:tr w:rsidR="00C347D2" w:rsidRPr="000C758A" w:rsidTr="00620243">
        <w:tc>
          <w:tcPr>
            <w:tcW w:w="1086" w:type="pct"/>
          </w:tcPr>
          <w:p w:rsidR="00C347D2" w:rsidRPr="000C758A" w:rsidRDefault="00C347D2" w:rsidP="005850CC">
            <w:pPr>
              <w:pStyle w:val="ListParagraph"/>
              <w:numPr>
                <w:ilvl w:val="0"/>
                <w:numId w:val="3"/>
              </w:numPr>
              <w:spacing w:after="0" w:line="240" w:lineRule="auto"/>
              <w:ind w:left="342" w:hanging="342"/>
            </w:pPr>
            <w:r w:rsidRPr="000C758A">
              <w:t>Anticipated Award Type</w:t>
            </w:r>
          </w:p>
        </w:tc>
        <w:tc>
          <w:tcPr>
            <w:tcW w:w="3914" w:type="pct"/>
          </w:tcPr>
          <w:p w:rsidR="00C347D2" w:rsidRDefault="00C347D2" w:rsidP="00E51B78">
            <w:pPr>
              <w:spacing w:after="0"/>
              <w:jc w:val="both"/>
              <w:rPr>
                <w:sz w:val="20"/>
                <w:szCs w:val="20"/>
              </w:rPr>
            </w:pPr>
            <w:r w:rsidRPr="000C758A">
              <w:rPr>
                <w:b/>
                <w:sz w:val="20"/>
                <w:szCs w:val="20"/>
              </w:rPr>
              <w:t>Fixed unit price purchase order</w:t>
            </w:r>
            <w:r w:rsidRPr="000C758A">
              <w:rPr>
                <w:sz w:val="20"/>
                <w:szCs w:val="20"/>
              </w:rPr>
              <w:t xml:space="preserve"> (FUPPO)</w:t>
            </w:r>
          </w:p>
          <w:p w:rsidR="00C347D2" w:rsidRPr="000C758A" w:rsidRDefault="00C347D2" w:rsidP="00B44927">
            <w:pPr>
              <w:spacing w:after="0" w:line="240" w:lineRule="auto"/>
              <w:jc w:val="both"/>
              <w:rPr>
                <w:sz w:val="20"/>
                <w:szCs w:val="20"/>
              </w:rPr>
            </w:pPr>
            <w:r w:rsidRPr="000C758A">
              <w:rPr>
                <w:sz w:val="20"/>
                <w:szCs w:val="20"/>
              </w:rPr>
              <w:t>An award resulting from this RFQ is anticipated to be a fixed unit price purchase order.</w:t>
            </w:r>
          </w:p>
          <w:p w:rsidR="00C347D2" w:rsidRPr="000C758A" w:rsidRDefault="00C347D2" w:rsidP="00B44927">
            <w:pPr>
              <w:spacing w:after="0" w:line="240" w:lineRule="auto"/>
              <w:jc w:val="both"/>
              <w:rPr>
                <w:sz w:val="20"/>
                <w:szCs w:val="20"/>
              </w:rPr>
            </w:pPr>
            <w:r w:rsidRPr="000C758A">
              <w:rPr>
                <w:sz w:val="20"/>
                <w:szCs w:val="20"/>
              </w:rPr>
              <w:t xml:space="preserve">The anticipated specific terms and conditions are as follows: </w:t>
            </w:r>
          </w:p>
          <w:p w:rsidR="00C347D2" w:rsidRDefault="00C347D2" w:rsidP="00B44927">
            <w:pPr>
              <w:spacing w:after="0" w:line="240" w:lineRule="auto"/>
              <w:jc w:val="both"/>
              <w:rPr>
                <w:sz w:val="20"/>
                <w:szCs w:val="20"/>
              </w:rPr>
            </w:pPr>
            <w:r w:rsidRPr="000C758A">
              <w:rPr>
                <w:sz w:val="20"/>
                <w:szCs w:val="20"/>
              </w:rPr>
              <w:t>Payment will be made by bank wire transfer to the company’s Bank Account, after complete supply and delivery to the specified location, and confirmation by the relevant RADP-E staff member and grantee.</w:t>
            </w:r>
            <w:r>
              <w:rPr>
                <w:sz w:val="20"/>
                <w:szCs w:val="20"/>
              </w:rPr>
              <w:t xml:space="preserve"> </w:t>
            </w:r>
            <w:r w:rsidRPr="000C758A">
              <w:rPr>
                <w:sz w:val="20"/>
                <w:szCs w:val="20"/>
              </w:rPr>
              <w:t>Issuance of this RFQ in no way obligates DAI to award a subcontract or purchase order and bidders will not be reimbursed for any costs associated with the preparation of their bid.</w:t>
            </w:r>
          </w:p>
          <w:p w:rsidR="00C347D2" w:rsidRDefault="00C347D2" w:rsidP="00E51B78">
            <w:pPr>
              <w:spacing w:after="0"/>
              <w:jc w:val="both"/>
              <w:rPr>
                <w:b/>
                <w:sz w:val="20"/>
                <w:szCs w:val="20"/>
              </w:rPr>
            </w:pPr>
            <w:r w:rsidRPr="000C758A">
              <w:rPr>
                <w:b/>
                <w:sz w:val="20"/>
                <w:szCs w:val="20"/>
              </w:rPr>
              <w:t>Government Withholding Tax for Afghan Based Companies</w:t>
            </w:r>
          </w:p>
          <w:p w:rsidR="00C347D2" w:rsidRPr="00713707" w:rsidRDefault="00C347D2" w:rsidP="00B44927">
            <w:pPr>
              <w:spacing w:after="0" w:line="240" w:lineRule="auto"/>
              <w:jc w:val="both"/>
              <w:rPr>
                <w:sz w:val="20"/>
                <w:szCs w:val="20"/>
              </w:rPr>
            </w:pPr>
            <w:r w:rsidRPr="000C758A">
              <w:rPr>
                <w:sz w:val="20"/>
                <w:szCs w:val="20"/>
              </w:rPr>
              <w:t>Pursuant to Article 72 in the Afghanistan Tax Law, effective March 21, 2009, DAI is required to withhold "contractor" taxes from the gross amounts payable to all Afghan for-profit subcontractors/vendors. In accordance with this requirement, DAI shall withhold two percent (2%) tax from all gross invoices to Afghan subcontractors/vendors under this Agreement with active AISA or Ministry of Commerce license.</w:t>
            </w:r>
            <w:r>
              <w:rPr>
                <w:sz w:val="20"/>
                <w:szCs w:val="20"/>
              </w:rPr>
              <w:t xml:space="preserve"> </w:t>
            </w:r>
            <w:r w:rsidRPr="000C758A">
              <w:rPr>
                <w:sz w:val="20"/>
                <w:szCs w:val="20"/>
              </w:rPr>
              <w:t>For subcontractors/vendors without an active AISA or Ministry of Commerce license, DAI shall withhold seven percent (7%) "Contractor" taxes per current Afghanistan Tax Law.</w:t>
            </w:r>
            <w:r>
              <w:rPr>
                <w:sz w:val="20"/>
                <w:szCs w:val="20"/>
              </w:rPr>
              <w:t xml:space="preserve"> </w:t>
            </w:r>
            <w:r w:rsidRPr="000C758A">
              <w:rPr>
                <w:sz w:val="20"/>
                <w:szCs w:val="20"/>
              </w:rPr>
              <w:t>Before signing the purchase order, the vendor will provide a copy of the organization's AISA or Ministry of Commerce license and TIN (Tax Identification Numb</w:t>
            </w:r>
            <w:r>
              <w:rPr>
                <w:sz w:val="20"/>
                <w:szCs w:val="20"/>
              </w:rPr>
              <w:t xml:space="preserve">er). </w:t>
            </w:r>
            <w:r w:rsidRPr="000C758A">
              <w:rPr>
                <w:sz w:val="20"/>
                <w:szCs w:val="20"/>
              </w:rPr>
              <w:t>Amounts deducted from the invoices will be forwarded to the Ministry of Finance (</w:t>
            </w:r>
            <w:proofErr w:type="spellStart"/>
            <w:r w:rsidRPr="000C758A">
              <w:rPr>
                <w:sz w:val="20"/>
                <w:szCs w:val="20"/>
              </w:rPr>
              <w:t>MoF</w:t>
            </w:r>
            <w:proofErr w:type="spellEnd"/>
            <w:r w:rsidRPr="000C758A">
              <w:rPr>
                <w:sz w:val="20"/>
                <w:szCs w:val="20"/>
              </w:rPr>
              <w:t>) Tax Division credited to the firm's TIN.  Records of payments to the MOF shall be maintained on file with DAI.</w:t>
            </w:r>
          </w:p>
        </w:tc>
      </w:tr>
      <w:tr w:rsidR="00C347D2" w:rsidRPr="000C758A" w:rsidTr="00620243">
        <w:tc>
          <w:tcPr>
            <w:tcW w:w="1086" w:type="pct"/>
          </w:tcPr>
          <w:p w:rsidR="00C347D2" w:rsidRPr="000C758A" w:rsidRDefault="00C347D2" w:rsidP="005850CC">
            <w:pPr>
              <w:pStyle w:val="ListParagraph"/>
              <w:numPr>
                <w:ilvl w:val="0"/>
                <w:numId w:val="3"/>
              </w:numPr>
              <w:spacing w:after="0" w:line="240" w:lineRule="auto"/>
              <w:ind w:left="342" w:hanging="342"/>
            </w:pPr>
            <w:r w:rsidRPr="000C758A">
              <w:t>Basis for Award</w:t>
            </w:r>
          </w:p>
        </w:tc>
        <w:tc>
          <w:tcPr>
            <w:tcW w:w="3914" w:type="pct"/>
          </w:tcPr>
          <w:p w:rsidR="00C347D2" w:rsidRPr="006563DC" w:rsidRDefault="00DA113A" w:rsidP="00E51B78">
            <w:pPr>
              <w:spacing w:after="0" w:line="240" w:lineRule="auto"/>
              <w:jc w:val="both"/>
              <w:rPr>
                <w:sz w:val="20"/>
                <w:szCs w:val="20"/>
              </w:rPr>
            </w:pPr>
            <w:r w:rsidRPr="006563DC">
              <w:rPr>
                <w:sz w:val="20"/>
                <w:szCs w:val="20"/>
              </w:rPr>
              <w:t>An award will be made to the responsible bidder whose bid is responsive to the terms of the RFQ and is most adv</w:t>
            </w:r>
            <w:r>
              <w:rPr>
                <w:sz w:val="20"/>
                <w:szCs w:val="20"/>
              </w:rPr>
              <w:t xml:space="preserve">antageous to DAI, considering best value and/or other </w:t>
            </w:r>
            <w:r w:rsidRPr="006563DC">
              <w:rPr>
                <w:sz w:val="20"/>
                <w:szCs w:val="20"/>
              </w:rPr>
              <w:t>factors included in the RFQ. To be considered for award, bidders must meet the requirements identified in Section 12, “Determination of Responsibility”. No discussions or negotiations will be conducted with bidders, and therefore bidders shall submit their best and final price.</w:t>
            </w:r>
          </w:p>
        </w:tc>
      </w:tr>
    </w:tbl>
    <w:p w:rsidR="00785AF2" w:rsidRDefault="00785AF2" w:rsidP="00785AF2">
      <w:pPr>
        <w:pStyle w:val="Heading1"/>
        <w:numPr>
          <w:ilvl w:val="0"/>
          <w:numId w:val="0"/>
        </w:numPr>
        <w:spacing w:before="0"/>
        <w:ind w:left="360" w:hanging="360"/>
        <w:rPr>
          <w:rFonts w:ascii="Calibri" w:hAnsi="Calibri"/>
        </w:rPr>
      </w:pPr>
    </w:p>
    <w:p w:rsidR="00785AF2" w:rsidRDefault="00785AF2" w:rsidP="00785AF2"/>
    <w:p w:rsidR="0094162A" w:rsidRPr="00785AF2" w:rsidRDefault="0094162A" w:rsidP="00785AF2"/>
    <w:p w:rsidR="00785AF2" w:rsidRPr="00785AF2" w:rsidRDefault="00785AF2" w:rsidP="00785AF2"/>
    <w:p w:rsidR="00785AF2" w:rsidRPr="00785AF2" w:rsidRDefault="00785AF2" w:rsidP="00785AF2"/>
    <w:p w:rsidR="002C0C24" w:rsidRPr="000C758A" w:rsidRDefault="009734C6" w:rsidP="005850CC">
      <w:pPr>
        <w:pStyle w:val="Heading1"/>
        <w:numPr>
          <w:ilvl w:val="0"/>
          <w:numId w:val="2"/>
        </w:numPr>
        <w:ind w:left="360"/>
        <w:rPr>
          <w:rFonts w:ascii="Calibri" w:hAnsi="Calibri"/>
          <w:sz w:val="26"/>
          <w:szCs w:val="26"/>
        </w:rPr>
      </w:pPr>
      <w:r w:rsidRPr="000C758A">
        <w:rPr>
          <w:rFonts w:ascii="Calibri" w:hAnsi="Calibri"/>
          <w:sz w:val="26"/>
          <w:szCs w:val="26"/>
        </w:rPr>
        <w:lastRenderedPageBreak/>
        <w:t>Request for Quotation</w:t>
      </w:r>
    </w:p>
    <w:tbl>
      <w:tblPr>
        <w:tblW w:w="557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950"/>
      </w:tblGrid>
      <w:tr w:rsidR="007E59B3" w:rsidRPr="000C758A" w:rsidTr="00243227">
        <w:trPr>
          <w:trHeight w:val="350"/>
        </w:trPr>
        <w:tc>
          <w:tcPr>
            <w:tcW w:w="1047" w:type="pct"/>
          </w:tcPr>
          <w:p w:rsidR="007E59B3" w:rsidRPr="000C758A" w:rsidRDefault="007E59B3" w:rsidP="005850CC">
            <w:pPr>
              <w:pStyle w:val="ListParagraph"/>
              <w:numPr>
                <w:ilvl w:val="0"/>
                <w:numId w:val="3"/>
              </w:numPr>
              <w:spacing w:after="0" w:line="240" w:lineRule="auto"/>
              <w:ind w:left="342" w:hanging="342"/>
              <w:rPr>
                <w:sz w:val="20"/>
                <w:szCs w:val="20"/>
              </w:rPr>
            </w:pPr>
            <w:r w:rsidRPr="000C758A">
              <w:rPr>
                <w:sz w:val="20"/>
                <w:szCs w:val="20"/>
              </w:rPr>
              <w:t xml:space="preserve">General Instructions to </w:t>
            </w:r>
            <w:r w:rsidR="00EF0879" w:rsidRPr="000C758A">
              <w:rPr>
                <w:sz w:val="20"/>
                <w:szCs w:val="20"/>
              </w:rPr>
              <w:t>Bidders</w:t>
            </w:r>
          </w:p>
        </w:tc>
        <w:tc>
          <w:tcPr>
            <w:tcW w:w="3953" w:type="pct"/>
          </w:tcPr>
          <w:p w:rsidR="007E59B3" w:rsidRPr="007435CC" w:rsidRDefault="000967A4" w:rsidP="00267F7F">
            <w:pPr>
              <w:pStyle w:val="ListParagraph"/>
              <w:numPr>
                <w:ilvl w:val="0"/>
                <w:numId w:val="8"/>
              </w:numPr>
              <w:spacing w:after="0" w:line="240" w:lineRule="auto"/>
              <w:ind w:left="321" w:hanging="219"/>
              <w:jc w:val="both"/>
              <w:rPr>
                <w:sz w:val="20"/>
                <w:szCs w:val="20"/>
              </w:rPr>
            </w:pPr>
            <w:r w:rsidRPr="007435CC">
              <w:rPr>
                <w:sz w:val="20"/>
                <w:szCs w:val="20"/>
              </w:rPr>
              <w:t xml:space="preserve">Final quotations are due by </w:t>
            </w:r>
            <w:r w:rsidR="008976AF" w:rsidRPr="00B44927">
              <w:rPr>
                <w:b/>
                <w:sz w:val="20"/>
                <w:szCs w:val="20"/>
              </w:rPr>
              <w:t>04</w:t>
            </w:r>
            <w:r w:rsidR="00024438" w:rsidRPr="00B44927">
              <w:rPr>
                <w:b/>
                <w:sz w:val="20"/>
                <w:szCs w:val="20"/>
              </w:rPr>
              <w:t xml:space="preserve">:00 </w:t>
            </w:r>
            <w:r w:rsidRPr="00B44927">
              <w:rPr>
                <w:b/>
                <w:sz w:val="20"/>
                <w:szCs w:val="20"/>
              </w:rPr>
              <w:t>pm</w:t>
            </w:r>
            <w:r w:rsidRPr="007435CC">
              <w:rPr>
                <w:sz w:val="20"/>
                <w:szCs w:val="20"/>
              </w:rPr>
              <w:t xml:space="preserve"> local time Kabul on </w:t>
            </w:r>
            <w:r w:rsidR="007E5904">
              <w:rPr>
                <w:b/>
                <w:bCs/>
                <w:sz w:val="20"/>
                <w:szCs w:val="20"/>
              </w:rPr>
              <w:t>October</w:t>
            </w:r>
            <w:r w:rsidR="003F01A2" w:rsidRPr="00620243">
              <w:rPr>
                <w:b/>
                <w:bCs/>
                <w:sz w:val="20"/>
                <w:szCs w:val="20"/>
              </w:rPr>
              <w:t xml:space="preserve"> </w:t>
            </w:r>
            <w:r w:rsidR="00F90F35">
              <w:rPr>
                <w:b/>
                <w:bCs/>
                <w:sz w:val="20"/>
                <w:szCs w:val="20"/>
              </w:rPr>
              <w:t>2</w:t>
            </w:r>
            <w:r w:rsidR="000A24A3">
              <w:rPr>
                <w:b/>
                <w:bCs/>
                <w:sz w:val="20"/>
                <w:szCs w:val="20"/>
              </w:rPr>
              <w:t>4</w:t>
            </w:r>
            <w:r w:rsidR="00C347D2" w:rsidRPr="00620243">
              <w:rPr>
                <w:rStyle w:val="Style4"/>
                <w:b/>
                <w:bCs/>
                <w:sz w:val="20"/>
                <w:szCs w:val="20"/>
              </w:rPr>
              <w:t>, 20</w:t>
            </w:r>
            <w:r w:rsidR="00C2699A" w:rsidRPr="00620243">
              <w:rPr>
                <w:rStyle w:val="Style4"/>
                <w:b/>
                <w:bCs/>
                <w:sz w:val="20"/>
                <w:szCs w:val="20"/>
              </w:rPr>
              <w:t>20</w:t>
            </w:r>
            <w:r w:rsidRPr="00620243">
              <w:rPr>
                <w:b/>
                <w:bCs/>
                <w:sz w:val="20"/>
                <w:szCs w:val="20"/>
              </w:rPr>
              <w:t>.</w:t>
            </w:r>
            <w:r w:rsidRPr="007435CC">
              <w:rPr>
                <w:sz w:val="20"/>
                <w:szCs w:val="20"/>
              </w:rPr>
              <w:t xml:space="preserve"> </w:t>
            </w:r>
            <w:r w:rsidR="007E59B3" w:rsidRPr="007435CC">
              <w:rPr>
                <w:sz w:val="20"/>
                <w:szCs w:val="20"/>
              </w:rPr>
              <w:t>Late offers will be rejected except under extraordinary circumstances at DAI’s discretion.</w:t>
            </w:r>
          </w:p>
          <w:p w:rsidR="009B5918" w:rsidRPr="007435CC" w:rsidRDefault="00854717" w:rsidP="00A76E5F">
            <w:pPr>
              <w:pStyle w:val="ListParagraph"/>
              <w:numPr>
                <w:ilvl w:val="0"/>
                <w:numId w:val="8"/>
              </w:numPr>
              <w:spacing w:after="0" w:line="240" w:lineRule="auto"/>
              <w:ind w:left="321" w:hanging="219"/>
              <w:jc w:val="both"/>
              <w:rPr>
                <w:sz w:val="20"/>
                <w:szCs w:val="20"/>
              </w:rPr>
            </w:pPr>
            <w:r w:rsidRPr="007435CC">
              <w:rPr>
                <w:sz w:val="20"/>
                <w:szCs w:val="20"/>
              </w:rPr>
              <w:t xml:space="preserve">Quotation validity date is </w:t>
            </w:r>
            <w:r w:rsidR="00A76E5F">
              <w:rPr>
                <w:b/>
                <w:bCs/>
                <w:sz w:val="20"/>
                <w:szCs w:val="20"/>
              </w:rPr>
              <w:t>120</w:t>
            </w:r>
            <w:r w:rsidRPr="007435CC">
              <w:rPr>
                <w:b/>
                <w:bCs/>
                <w:sz w:val="20"/>
                <w:szCs w:val="20"/>
              </w:rPr>
              <w:t xml:space="preserve"> days</w:t>
            </w:r>
            <w:r w:rsidRPr="007435CC">
              <w:rPr>
                <w:sz w:val="20"/>
                <w:szCs w:val="20"/>
              </w:rPr>
              <w:t xml:space="preserve"> from the date of submission</w:t>
            </w:r>
          </w:p>
          <w:p w:rsidR="00227515" w:rsidRPr="00620243" w:rsidRDefault="0031129B" w:rsidP="005850CC">
            <w:pPr>
              <w:pStyle w:val="ListParagraph"/>
              <w:numPr>
                <w:ilvl w:val="0"/>
                <w:numId w:val="8"/>
              </w:numPr>
              <w:spacing w:after="0" w:line="240" w:lineRule="auto"/>
              <w:ind w:left="321" w:hanging="219"/>
              <w:jc w:val="both"/>
              <w:rPr>
                <w:sz w:val="20"/>
                <w:szCs w:val="20"/>
              </w:rPr>
            </w:pPr>
            <w:r w:rsidRPr="00620243">
              <w:rPr>
                <w:sz w:val="20"/>
                <w:szCs w:val="20"/>
              </w:rPr>
              <w:t>Bidder</w:t>
            </w:r>
            <w:r w:rsidR="00854717" w:rsidRPr="00620243">
              <w:rPr>
                <w:sz w:val="20"/>
                <w:szCs w:val="20"/>
              </w:rPr>
              <w:t xml:space="preserve">s shall submit quotations via email to </w:t>
            </w:r>
            <w:hyperlink r:id="rId10" w:history="1">
              <w:r w:rsidR="001E7865" w:rsidRPr="00620243">
                <w:rPr>
                  <w:rStyle w:val="Hyperlink"/>
                  <w:sz w:val="20"/>
                  <w:szCs w:val="20"/>
                  <w:u w:val="none"/>
                </w:rPr>
                <w:t>ProcurementRADP_East_Inbox@dai.com</w:t>
              </w:r>
            </w:hyperlink>
            <w:r w:rsidR="00854717" w:rsidRPr="00620243">
              <w:rPr>
                <w:sz w:val="20"/>
                <w:szCs w:val="20"/>
              </w:rPr>
              <w:t xml:space="preserve"> with the RFQ number in the subject line. </w:t>
            </w:r>
            <w:r w:rsidR="00227515" w:rsidRPr="00620243">
              <w:rPr>
                <w:sz w:val="20"/>
                <w:szCs w:val="20"/>
              </w:rPr>
              <w:t xml:space="preserve">Or hard copy (sealed envelope) to RADP-E office </w:t>
            </w:r>
          </w:p>
          <w:p w:rsidR="00854717" w:rsidRPr="007435CC" w:rsidRDefault="00543E24" w:rsidP="00620243">
            <w:pPr>
              <w:pStyle w:val="ListParagraph"/>
              <w:spacing w:after="0" w:line="240" w:lineRule="auto"/>
              <w:ind w:left="321"/>
              <w:jc w:val="both"/>
              <w:rPr>
                <w:sz w:val="20"/>
                <w:szCs w:val="20"/>
              </w:rPr>
            </w:pPr>
            <w:r>
              <w:rPr>
                <w:sz w:val="20"/>
                <w:szCs w:val="20"/>
              </w:rPr>
              <w:t xml:space="preserve">Located at: </w:t>
            </w:r>
            <w:proofErr w:type="spellStart"/>
            <w:r w:rsidR="00436661" w:rsidRPr="00B44927">
              <w:rPr>
                <w:b/>
                <w:sz w:val="20"/>
                <w:szCs w:val="20"/>
              </w:rPr>
              <w:t>Hawa</w:t>
            </w:r>
            <w:proofErr w:type="spellEnd"/>
            <w:r w:rsidR="00436661" w:rsidRPr="00B44927">
              <w:rPr>
                <w:b/>
                <w:sz w:val="20"/>
                <w:szCs w:val="20"/>
              </w:rPr>
              <w:t xml:space="preserve"> </w:t>
            </w:r>
            <w:proofErr w:type="spellStart"/>
            <w:r w:rsidR="00436661" w:rsidRPr="00B44927">
              <w:rPr>
                <w:b/>
                <w:sz w:val="20"/>
                <w:szCs w:val="20"/>
              </w:rPr>
              <w:t>Shenasy</w:t>
            </w:r>
            <w:proofErr w:type="spellEnd"/>
            <w:r w:rsidR="00436661" w:rsidRPr="00B44927">
              <w:rPr>
                <w:b/>
                <w:sz w:val="20"/>
                <w:szCs w:val="20"/>
              </w:rPr>
              <w:t xml:space="preserve">, Road Darya Village Hotel and Business Park, </w:t>
            </w:r>
            <w:proofErr w:type="spellStart"/>
            <w:r w:rsidR="00436661" w:rsidRPr="00B44927">
              <w:rPr>
                <w:b/>
                <w:sz w:val="20"/>
                <w:szCs w:val="20"/>
              </w:rPr>
              <w:t>Khowaja</w:t>
            </w:r>
            <w:proofErr w:type="spellEnd"/>
            <w:r w:rsidR="00436661" w:rsidRPr="00B44927">
              <w:rPr>
                <w:b/>
                <w:sz w:val="20"/>
                <w:szCs w:val="20"/>
              </w:rPr>
              <w:t xml:space="preserve"> </w:t>
            </w:r>
            <w:proofErr w:type="spellStart"/>
            <w:r w:rsidR="00436661" w:rsidRPr="00B44927">
              <w:rPr>
                <w:b/>
                <w:sz w:val="20"/>
                <w:szCs w:val="20"/>
              </w:rPr>
              <w:t>Rawash</w:t>
            </w:r>
            <w:proofErr w:type="spellEnd"/>
            <w:r w:rsidR="00436661" w:rsidRPr="00B44927">
              <w:rPr>
                <w:b/>
                <w:sz w:val="20"/>
                <w:szCs w:val="20"/>
              </w:rPr>
              <w:t>, Kabul</w:t>
            </w:r>
            <w:r w:rsidR="00227515" w:rsidRPr="007435CC">
              <w:rPr>
                <w:sz w:val="20"/>
                <w:szCs w:val="20"/>
              </w:rPr>
              <w:t>.</w:t>
            </w:r>
          </w:p>
          <w:p w:rsidR="00854717" w:rsidRPr="007435CC" w:rsidRDefault="0031129B" w:rsidP="005850CC">
            <w:pPr>
              <w:pStyle w:val="ListParagraph"/>
              <w:numPr>
                <w:ilvl w:val="0"/>
                <w:numId w:val="8"/>
              </w:numPr>
              <w:spacing w:after="0" w:line="240" w:lineRule="auto"/>
              <w:ind w:left="321" w:hanging="219"/>
              <w:jc w:val="both"/>
              <w:rPr>
                <w:sz w:val="20"/>
                <w:szCs w:val="20"/>
              </w:rPr>
            </w:pPr>
            <w:r w:rsidRPr="007435CC">
              <w:rPr>
                <w:sz w:val="20"/>
                <w:szCs w:val="20"/>
              </w:rPr>
              <w:t>Bidder</w:t>
            </w:r>
            <w:r w:rsidR="00854717" w:rsidRPr="007435CC">
              <w:rPr>
                <w:sz w:val="20"/>
                <w:szCs w:val="20"/>
              </w:rPr>
              <w:t xml:space="preserve">s shall confirm in writing that the </w:t>
            </w:r>
            <w:r w:rsidRPr="007435CC">
              <w:rPr>
                <w:sz w:val="20"/>
                <w:szCs w:val="20"/>
              </w:rPr>
              <w:t>Bidder</w:t>
            </w:r>
            <w:r w:rsidR="00854717" w:rsidRPr="007435CC">
              <w:rPr>
                <w:sz w:val="20"/>
                <w:szCs w:val="20"/>
              </w:rPr>
              <w:t xml:space="preserve"> fully </w:t>
            </w:r>
            <w:r w:rsidR="0080365E" w:rsidRPr="007435CC">
              <w:rPr>
                <w:sz w:val="20"/>
                <w:szCs w:val="20"/>
              </w:rPr>
              <w:t>understa</w:t>
            </w:r>
            <w:r w:rsidR="0051465A" w:rsidRPr="007435CC">
              <w:rPr>
                <w:sz w:val="20"/>
                <w:szCs w:val="20"/>
              </w:rPr>
              <w:t>nd</w:t>
            </w:r>
            <w:r w:rsidR="0080365E" w:rsidRPr="007435CC">
              <w:rPr>
                <w:sz w:val="20"/>
                <w:szCs w:val="20"/>
              </w:rPr>
              <w:t>s</w:t>
            </w:r>
            <w:r w:rsidR="0051465A" w:rsidRPr="007435CC">
              <w:rPr>
                <w:sz w:val="20"/>
                <w:szCs w:val="20"/>
              </w:rPr>
              <w:t xml:space="preserve"> the term</w:t>
            </w:r>
            <w:r w:rsidR="005D42CD" w:rsidRPr="007435CC">
              <w:rPr>
                <w:sz w:val="20"/>
                <w:szCs w:val="20"/>
              </w:rPr>
              <w:t>s</w:t>
            </w:r>
            <w:r w:rsidR="0051465A" w:rsidRPr="007435CC">
              <w:rPr>
                <w:sz w:val="20"/>
                <w:szCs w:val="20"/>
              </w:rPr>
              <w:t xml:space="preserve"> and conditions of the RFQ</w:t>
            </w:r>
            <w:r w:rsidR="005D42CD" w:rsidRPr="007435CC">
              <w:rPr>
                <w:sz w:val="20"/>
                <w:szCs w:val="20"/>
              </w:rPr>
              <w:t>.</w:t>
            </w:r>
          </w:p>
          <w:p w:rsidR="00854717" w:rsidRPr="007435CC" w:rsidRDefault="0031129B" w:rsidP="005850CC">
            <w:pPr>
              <w:pStyle w:val="ListParagraph"/>
              <w:numPr>
                <w:ilvl w:val="0"/>
                <w:numId w:val="8"/>
              </w:numPr>
              <w:spacing w:after="0" w:line="240" w:lineRule="auto"/>
              <w:ind w:left="321" w:hanging="219"/>
              <w:jc w:val="both"/>
              <w:rPr>
                <w:sz w:val="20"/>
                <w:szCs w:val="20"/>
              </w:rPr>
            </w:pPr>
            <w:r w:rsidRPr="007435CC">
              <w:rPr>
                <w:sz w:val="20"/>
                <w:szCs w:val="20"/>
              </w:rPr>
              <w:t>Bidder</w:t>
            </w:r>
            <w:r w:rsidR="00854717" w:rsidRPr="007435CC">
              <w:rPr>
                <w:sz w:val="20"/>
                <w:szCs w:val="20"/>
              </w:rPr>
              <w:t xml:space="preserve">s shall complete Attachment A: Price Schedule and submit any other required attachments. </w:t>
            </w:r>
          </w:p>
          <w:p w:rsidR="00854717" w:rsidRPr="007435CC" w:rsidRDefault="0031129B" w:rsidP="005850CC">
            <w:pPr>
              <w:pStyle w:val="ListParagraph"/>
              <w:numPr>
                <w:ilvl w:val="0"/>
                <w:numId w:val="8"/>
              </w:numPr>
              <w:spacing w:after="0" w:line="240" w:lineRule="auto"/>
              <w:ind w:left="321" w:hanging="219"/>
              <w:jc w:val="both"/>
              <w:rPr>
                <w:sz w:val="20"/>
                <w:szCs w:val="20"/>
              </w:rPr>
            </w:pPr>
            <w:r w:rsidRPr="007435CC">
              <w:rPr>
                <w:sz w:val="20"/>
                <w:szCs w:val="20"/>
              </w:rPr>
              <w:t>Bidder</w:t>
            </w:r>
            <w:r w:rsidR="00854717" w:rsidRPr="007435CC">
              <w:rPr>
                <w:sz w:val="20"/>
                <w:szCs w:val="20"/>
              </w:rPr>
              <w:t xml:space="preserve">s shall </w:t>
            </w:r>
            <w:r w:rsidR="00ED5F73" w:rsidRPr="007435CC">
              <w:rPr>
                <w:sz w:val="20"/>
                <w:szCs w:val="20"/>
              </w:rPr>
              <w:t>sign</w:t>
            </w:r>
            <w:r w:rsidR="00854717" w:rsidRPr="007435CC">
              <w:rPr>
                <w:sz w:val="20"/>
                <w:szCs w:val="20"/>
              </w:rPr>
              <w:t>, date, and stamp the Price Schedule, in lieu of a formal cover letter</w:t>
            </w:r>
          </w:p>
          <w:p w:rsidR="007130DC" w:rsidRPr="007435CC" w:rsidRDefault="00854717" w:rsidP="005850CC">
            <w:pPr>
              <w:pStyle w:val="ListParagraph"/>
              <w:numPr>
                <w:ilvl w:val="0"/>
                <w:numId w:val="8"/>
              </w:numPr>
              <w:spacing w:after="0" w:line="240" w:lineRule="auto"/>
              <w:ind w:left="321" w:hanging="219"/>
              <w:jc w:val="both"/>
              <w:rPr>
                <w:sz w:val="20"/>
                <w:szCs w:val="20"/>
              </w:rPr>
            </w:pPr>
            <w:r w:rsidRPr="007435CC">
              <w:rPr>
                <w:sz w:val="20"/>
                <w:szCs w:val="20"/>
              </w:rPr>
              <w:t>The rates quoted shall be for complete service or goods, inclusive of all taxes and all charges for service contingent to the work</w:t>
            </w:r>
            <w:r w:rsidR="007130DC" w:rsidRPr="007435CC">
              <w:rPr>
                <w:sz w:val="20"/>
                <w:szCs w:val="20"/>
              </w:rPr>
              <w:t>.</w:t>
            </w:r>
          </w:p>
          <w:p w:rsidR="00854717" w:rsidRPr="007435CC" w:rsidRDefault="00854717" w:rsidP="005850CC">
            <w:pPr>
              <w:pStyle w:val="ListParagraph"/>
              <w:numPr>
                <w:ilvl w:val="0"/>
                <w:numId w:val="8"/>
              </w:numPr>
              <w:spacing w:after="0" w:line="240" w:lineRule="auto"/>
              <w:ind w:left="321" w:hanging="219"/>
              <w:jc w:val="both"/>
              <w:rPr>
                <w:sz w:val="20"/>
                <w:szCs w:val="20"/>
              </w:rPr>
            </w:pPr>
            <w:r w:rsidRPr="007435CC">
              <w:rPr>
                <w:sz w:val="20"/>
                <w:szCs w:val="20"/>
              </w:rPr>
              <w:t>DAI has the right to decrease or increase the goods and services mentioned in this RFQ</w:t>
            </w:r>
          </w:p>
          <w:p w:rsidR="00185BF6" w:rsidRPr="007435CC" w:rsidRDefault="00603F7A" w:rsidP="005850CC">
            <w:pPr>
              <w:pStyle w:val="ListParagraph"/>
              <w:numPr>
                <w:ilvl w:val="0"/>
                <w:numId w:val="8"/>
              </w:numPr>
              <w:spacing w:after="0" w:line="240" w:lineRule="auto"/>
              <w:ind w:left="321" w:hanging="219"/>
              <w:jc w:val="both"/>
              <w:rPr>
                <w:sz w:val="20"/>
                <w:szCs w:val="20"/>
              </w:rPr>
            </w:pPr>
            <w:r w:rsidRPr="007435CC">
              <w:rPr>
                <w:sz w:val="20"/>
                <w:szCs w:val="20"/>
              </w:rPr>
              <w:t>Bidder should</w:t>
            </w:r>
            <w:r w:rsidR="00B57F06">
              <w:rPr>
                <w:sz w:val="20"/>
                <w:szCs w:val="20"/>
              </w:rPr>
              <w:t xml:space="preserve"> fill out Attachment A</w:t>
            </w:r>
            <w:r w:rsidR="00DE5CED">
              <w:rPr>
                <w:sz w:val="20"/>
                <w:szCs w:val="20"/>
              </w:rPr>
              <w:t>, B</w:t>
            </w:r>
            <w:r w:rsidR="00185BF6" w:rsidRPr="007435CC">
              <w:rPr>
                <w:sz w:val="20"/>
                <w:szCs w:val="20"/>
              </w:rPr>
              <w:t xml:space="preserve"> and D.</w:t>
            </w:r>
          </w:p>
          <w:p w:rsidR="00266742" w:rsidRPr="007435CC" w:rsidRDefault="00CB2AC8" w:rsidP="005850CC">
            <w:pPr>
              <w:pStyle w:val="ListParagraph"/>
              <w:numPr>
                <w:ilvl w:val="0"/>
                <w:numId w:val="8"/>
              </w:numPr>
              <w:spacing w:after="0" w:line="240" w:lineRule="auto"/>
              <w:ind w:left="321" w:hanging="219"/>
              <w:jc w:val="both"/>
              <w:rPr>
                <w:sz w:val="20"/>
                <w:szCs w:val="20"/>
              </w:rPr>
            </w:pPr>
            <w:r>
              <w:rPr>
                <w:sz w:val="20"/>
                <w:szCs w:val="20"/>
              </w:rPr>
              <w:t xml:space="preserve">The requested </w:t>
            </w:r>
            <w:r w:rsidR="00511481">
              <w:rPr>
                <w:sz w:val="20"/>
                <w:szCs w:val="20"/>
              </w:rPr>
              <w:t xml:space="preserve">equipment </w:t>
            </w:r>
            <w:r w:rsidR="00B57F06">
              <w:rPr>
                <w:sz w:val="20"/>
                <w:szCs w:val="20"/>
              </w:rPr>
              <w:t xml:space="preserve">should new </w:t>
            </w:r>
            <w:r>
              <w:rPr>
                <w:sz w:val="20"/>
                <w:szCs w:val="20"/>
              </w:rPr>
              <w:t xml:space="preserve">and </w:t>
            </w:r>
            <w:r w:rsidR="00B57F06">
              <w:rPr>
                <w:sz w:val="20"/>
                <w:szCs w:val="20"/>
              </w:rPr>
              <w:t>branded</w:t>
            </w:r>
            <w:r w:rsidR="008976AF" w:rsidRPr="007435CC">
              <w:rPr>
                <w:sz w:val="20"/>
                <w:szCs w:val="20"/>
              </w:rPr>
              <w:t>.</w:t>
            </w:r>
            <w:r w:rsidR="00BA147C" w:rsidRPr="007435CC">
              <w:rPr>
                <w:sz w:val="20"/>
                <w:szCs w:val="20"/>
              </w:rPr>
              <w:t xml:space="preserve"> </w:t>
            </w:r>
          </w:p>
          <w:p w:rsidR="00A84DFF" w:rsidRDefault="00185BF6" w:rsidP="005850CC">
            <w:pPr>
              <w:pStyle w:val="ListParagraph"/>
              <w:numPr>
                <w:ilvl w:val="0"/>
                <w:numId w:val="8"/>
              </w:numPr>
              <w:spacing w:after="0" w:line="240" w:lineRule="auto"/>
              <w:ind w:left="321" w:hanging="219"/>
              <w:jc w:val="both"/>
              <w:rPr>
                <w:sz w:val="20"/>
                <w:szCs w:val="20"/>
              </w:rPr>
            </w:pPr>
            <w:r w:rsidRPr="007435CC">
              <w:rPr>
                <w:sz w:val="20"/>
                <w:szCs w:val="20"/>
              </w:rPr>
              <w:t>Incomplete bid will be automatically disqualif</w:t>
            </w:r>
            <w:r w:rsidR="00543E24">
              <w:rPr>
                <w:sz w:val="20"/>
                <w:szCs w:val="20"/>
              </w:rPr>
              <w:t>ied</w:t>
            </w:r>
            <w:r w:rsidRPr="007435CC">
              <w:rPr>
                <w:sz w:val="20"/>
                <w:szCs w:val="20"/>
              </w:rPr>
              <w:t xml:space="preserve"> from the bidding process.</w:t>
            </w:r>
          </w:p>
          <w:p w:rsidR="00CD3B76" w:rsidRPr="00620243" w:rsidRDefault="00CD3B76" w:rsidP="00211487">
            <w:pPr>
              <w:pStyle w:val="ListParagraph"/>
              <w:numPr>
                <w:ilvl w:val="0"/>
                <w:numId w:val="8"/>
              </w:numPr>
              <w:spacing w:after="0" w:line="240" w:lineRule="auto"/>
              <w:ind w:left="344" w:hanging="270"/>
              <w:jc w:val="both"/>
              <w:rPr>
                <w:bCs/>
                <w:sz w:val="19"/>
                <w:szCs w:val="19"/>
              </w:rPr>
            </w:pPr>
            <w:r w:rsidRPr="007112F1">
              <w:rPr>
                <w:bCs/>
                <w:sz w:val="20"/>
                <w:szCs w:val="20"/>
              </w:rPr>
              <w:t>Bidder must have relevant pa</w:t>
            </w:r>
            <w:r w:rsidR="00C7295B">
              <w:rPr>
                <w:bCs/>
                <w:sz w:val="20"/>
                <w:szCs w:val="20"/>
              </w:rPr>
              <w:t xml:space="preserve">st performance for provision </w:t>
            </w:r>
            <w:r w:rsidR="00BB272E" w:rsidRPr="00BB272E">
              <w:rPr>
                <w:sz w:val="20"/>
                <w:szCs w:val="20"/>
              </w:rPr>
              <w:t xml:space="preserve">of </w:t>
            </w:r>
            <w:r w:rsidR="00F90F35" w:rsidRPr="00F90F35">
              <w:rPr>
                <w:sz w:val="20"/>
                <w:szCs w:val="20"/>
              </w:rPr>
              <w:t>Display Case Refrigerator, Deep Freezers</w:t>
            </w:r>
            <w:r w:rsidR="0094162A">
              <w:rPr>
                <w:sz w:val="20"/>
                <w:szCs w:val="20"/>
              </w:rPr>
              <w:t xml:space="preserve"> and</w:t>
            </w:r>
            <w:r w:rsidR="00F90F35" w:rsidRPr="00F90F35">
              <w:rPr>
                <w:sz w:val="20"/>
                <w:szCs w:val="20"/>
              </w:rPr>
              <w:t xml:space="preserve"> Aluminum Milk Collection Drums</w:t>
            </w:r>
            <w:r>
              <w:rPr>
                <w:bCs/>
                <w:sz w:val="20"/>
                <w:szCs w:val="20"/>
              </w:rPr>
              <w:t>.</w:t>
            </w:r>
            <w:r w:rsidRPr="000656E6">
              <w:rPr>
                <w:bCs/>
                <w:sz w:val="20"/>
                <w:szCs w:val="20"/>
              </w:rPr>
              <w:t xml:space="preserve"> </w:t>
            </w:r>
            <w:proofErr w:type="spellStart"/>
            <w:r w:rsidRPr="007112F1">
              <w:rPr>
                <w:bCs/>
                <w:sz w:val="20"/>
                <w:szCs w:val="20"/>
              </w:rPr>
              <w:t>Offerro</w:t>
            </w:r>
            <w:r w:rsidR="0058519A">
              <w:rPr>
                <w:bCs/>
                <w:sz w:val="20"/>
                <w:szCs w:val="20"/>
              </w:rPr>
              <w:t>r</w:t>
            </w:r>
            <w:r w:rsidRPr="007112F1">
              <w:rPr>
                <w:bCs/>
                <w:sz w:val="20"/>
                <w:szCs w:val="20"/>
              </w:rPr>
              <w:t>s</w:t>
            </w:r>
            <w:proofErr w:type="spellEnd"/>
            <w:r w:rsidRPr="007112F1">
              <w:rPr>
                <w:bCs/>
                <w:sz w:val="20"/>
                <w:szCs w:val="20"/>
              </w:rPr>
              <w:t xml:space="preserve"> who do not have </w:t>
            </w:r>
            <w:r>
              <w:rPr>
                <w:bCs/>
                <w:sz w:val="20"/>
                <w:szCs w:val="20"/>
              </w:rPr>
              <w:t xml:space="preserve">at </w:t>
            </w:r>
            <w:r w:rsidRPr="007112F1">
              <w:rPr>
                <w:bCs/>
                <w:sz w:val="20"/>
                <w:szCs w:val="20"/>
              </w:rPr>
              <w:t>similar past performance will not be considered.</w:t>
            </w:r>
          </w:p>
          <w:p w:rsidR="00CD3B76" w:rsidRPr="00B57F06" w:rsidRDefault="00CD3B76" w:rsidP="005850CC">
            <w:pPr>
              <w:pStyle w:val="ListParagraph"/>
              <w:numPr>
                <w:ilvl w:val="0"/>
                <w:numId w:val="8"/>
              </w:numPr>
              <w:spacing w:after="0" w:line="240" w:lineRule="auto"/>
              <w:ind w:left="321" w:hanging="219"/>
              <w:jc w:val="both"/>
              <w:rPr>
                <w:sz w:val="20"/>
                <w:szCs w:val="20"/>
              </w:rPr>
            </w:pPr>
            <w:r w:rsidRPr="00046C2A">
              <w:rPr>
                <w:sz w:val="20"/>
                <w:szCs w:val="20"/>
              </w:rPr>
              <w:t xml:space="preserve">Applies to equipment and machinery purchased by </w:t>
            </w:r>
            <w:proofErr w:type="spellStart"/>
            <w:r w:rsidRPr="00046C2A">
              <w:rPr>
                <w:sz w:val="20"/>
                <w:szCs w:val="20"/>
              </w:rPr>
              <w:t>Offerors</w:t>
            </w:r>
            <w:proofErr w:type="spellEnd"/>
            <w:r w:rsidRPr="00046C2A">
              <w:rPr>
                <w:sz w:val="20"/>
                <w:szCs w:val="20"/>
              </w:rPr>
              <w:t xml:space="preserve"> from outside of Afghanistan: Upon issuance of the purchase order, the bidder should be willing to provide an update and documentation regularly on each step of the equipment delivery by providing some proof to validate the progress on acquiring of the equipment, i.e., copy of the order to the manufacturer, transportation receipts, waybill, customs clearance, and photos.</w:t>
            </w:r>
          </w:p>
        </w:tc>
      </w:tr>
      <w:tr w:rsidR="002C0C24" w:rsidRPr="000C758A" w:rsidTr="00243227">
        <w:trPr>
          <w:trHeight w:val="350"/>
        </w:trPr>
        <w:tc>
          <w:tcPr>
            <w:tcW w:w="1047" w:type="pct"/>
          </w:tcPr>
          <w:p w:rsidR="002C0C24" w:rsidRPr="000C758A" w:rsidRDefault="007E59B3" w:rsidP="005850CC">
            <w:pPr>
              <w:pStyle w:val="ListParagraph"/>
              <w:numPr>
                <w:ilvl w:val="0"/>
                <w:numId w:val="3"/>
              </w:numPr>
              <w:spacing w:after="0" w:line="240" w:lineRule="auto"/>
              <w:ind w:left="342" w:hanging="342"/>
              <w:rPr>
                <w:sz w:val="20"/>
                <w:szCs w:val="20"/>
              </w:rPr>
            </w:pPr>
            <w:r w:rsidRPr="000C758A">
              <w:rPr>
                <w:sz w:val="20"/>
                <w:szCs w:val="20"/>
              </w:rPr>
              <w:t xml:space="preserve">Questions Regarding </w:t>
            </w:r>
            <w:r w:rsidR="008C4DEE" w:rsidRPr="000C758A">
              <w:rPr>
                <w:sz w:val="20"/>
                <w:szCs w:val="20"/>
              </w:rPr>
              <w:t>the RFQ</w:t>
            </w:r>
          </w:p>
        </w:tc>
        <w:tc>
          <w:tcPr>
            <w:tcW w:w="3953" w:type="pct"/>
          </w:tcPr>
          <w:p w:rsidR="002C0C24" w:rsidRPr="00C347D2" w:rsidRDefault="00FD53A8" w:rsidP="008A6A6D">
            <w:pPr>
              <w:spacing w:after="0" w:line="240" w:lineRule="auto"/>
              <w:jc w:val="both"/>
              <w:rPr>
                <w:sz w:val="20"/>
                <w:szCs w:val="20"/>
              </w:rPr>
            </w:pPr>
            <w:r w:rsidRPr="000C758A">
              <w:rPr>
                <w:sz w:val="20"/>
                <w:szCs w:val="20"/>
              </w:rPr>
              <w:t xml:space="preserve">Questions are due no later </w:t>
            </w:r>
            <w:r w:rsidRPr="008976AF">
              <w:rPr>
                <w:sz w:val="20"/>
                <w:szCs w:val="20"/>
              </w:rPr>
              <w:t>t</w:t>
            </w:r>
            <w:r w:rsidR="00D61A66" w:rsidRPr="008976AF">
              <w:rPr>
                <w:sz w:val="20"/>
                <w:szCs w:val="20"/>
              </w:rPr>
              <w:t xml:space="preserve">han </w:t>
            </w:r>
            <w:r w:rsidR="00BC5091" w:rsidRPr="008976AF">
              <w:rPr>
                <w:b/>
                <w:bCs/>
                <w:sz w:val="20"/>
                <w:szCs w:val="20"/>
              </w:rPr>
              <w:t>3</w:t>
            </w:r>
            <w:r w:rsidR="00005FD0" w:rsidRPr="008976AF">
              <w:rPr>
                <w:b/>
                <w:bCs/>
                <w:sz w:val="20"/>
                <w:szCs w:val="20"/>
              </w:rPr>
              <w:t xml:space="preserve">:00 PM local time Kabul on </w:t>
            </w:r>
            <w:r w:rsidR="007E5904">
              <w:rPr>
                <w:b/>
                <w:bCs/>
                <w:sz w:val="20"/>
                <w:szCs w:val="20"/>
              </w:rPr>
              <w:t>October</w:t>
            </w:r>
            <w:r w:rsidR="00511481">
              <w:rPr>
                <w:b/>
                <w:bCs/>
                <w:sz w:val="20"/>
                <w:szCs w:val="20"/>
              </w:rPr>
              <w:t xml:space="preserve"> </w:t>
            </w:r>
            <w:r w:rsidR="00F90F35">
              <w:rPr>
                <w:b/>
                <w:bCs/>
                <w:sz w:val="20"/>
                <w:szCs w:val="20"/>
              </w:rPr>
              <w:t>2</w:t>
            </w:r>
            <w:r w:rsidR="000A24A3">
              <w:rPr>
                <w:b/>
                <w:bCs/>
                <w:sz w:val="20"/>
                <w:szCs w:val="20"/>
              </w:rPr>
              <w:t>0</w:t>
            </w:r>
            <w:r w:rsidR="002D4800" w:rsidRPr="00620243">
              <w:rPr>
                <w:b/>
                <w:bCs/>
                <w:sz w:val="20"/>
                <w:szCs w:val="20"/>
              </w:rPr>
              <w:t>, 2020</w:t>
            </w:r>
            <w:r w:rsidRPr="00620243">
              <w:rPr>
                <w:sz w:val="20"/>
                <w:szCs w:val="20"/>
              </w:rPr>
              <w:t>.</w:t>
            </w:r>
            <w:r w:rsidRPr="008976AF">
              <w:rPr>
                <w:sz w:val="20"/>
                <w:szCs w:val="20"/>
              </w:rPr>
              <w:t xml:space="preserve"> </w:t>
            </w:r>
            <w:r w:rsidR="002C0C24" w:rsidRPr="008976AF">
              <w:rPr>
                <w:sz w:val="20"/>
                <w:szCs w:val="20"/>
              </w:rPr>
              <w:t>Each</w:t>
            </w:r>
            <w:r w:rsidR="002C0C24" w:rsidRPr="000C758A">
              <w:rPr>
                <w:sz w:val="20"/>
                <w:szCs w:val="20"/>
              </w:rPr>
              <w:t xml:space="preserve"> </w:t>
            </w:r>
            <w:r w:rsidR="00EF0879" w:rsidRPr="000C758A">
              <w:rPr>
                <w:sz w:val="20"/>
                <w:szCs w:val="20"/>
              </w:rPr>
              <w:t>Bidder</w:t>
            </w:r>
            <w:r w:rsidR="002C0C24" w:rsidRPr="000C758A">
              <w:rPr>
                <w:sz w:val="20"/>
                <w:szCs w:val="20"/>
              </w:rPr>
              <w:t xml:space="preserve"> is responsible for reading very carefully and understanding fully the terms and conditions of </w:t>
            </w:r>
            <w:r w:rsidR="008C4DEE" w:rsidRPr="000C758A">
              <w:rPr>
                <w:sz w:val="20"/>
                <w:szCs w:val="20"/>
              </w:rPr>
              <w:t>this RFQ</w:t>
            </w:r>
            <w:r w:rsidR="002C0C24" w:rsidRPr="000C758A">
              <w:rPr>
                <w:sz w:val="20"/>
                <w:szCs w:val="20"/>
              </w:rPr>
              <w:t>.  All communications regarding this solicitation are to be made solely through the Issuing Office and must be submitted via email to the Issuing Office no later than the date specified above.</w:t>
            </w:r>
            <w:r w:rsidR="00DE4F6F">
              <w:rPr>
                <w:sz w:val="20"/>
                <w:szCs w:val="20"/>
              </w:rPr>
              <w:t xml:space="preserve"> </w:t>
            </w:r>
            <w:r w:rsidR="002C0C24" w:rsidRPr="000C758A">
              <w:rPr>
                <w:sz w:val="20"/>
                <w:szCs w:val="20"/>
              </w:rPr>
              <w:t>All questions received will be compiled and answered in writing</w:t>
            </w:r>
            <w:r w:rsidR="00EC6429" w:rsidRPr="000C758A">
              <w:rPr>
                <w:sz w:val="20"/>
                <w:szCs w:val="20"/>
              </w:rPr>
              <w:t xml:space="preserve"> an</w:t>
            </w:r>
            <w:r w:rsidR="00227515" w:rsidRPr="000C758A">
              <w:rPr>
                <w:sz w:val="20"/>
                <w:szCs w:val="20"/>
              </w:rPr>
              <w:t>d will be posted on ACBAR website.</w:t>
            </w:r>
            <w:r w:rsidR="002C0C24" w:rsidRPr="000C758A">
              <w:rPr>
                <w:sz w:val="20"/>
                <w:szCs w:val="20"/>
              </w:rPr>
              <w:t xml:space="preserve">  </w:t>
            </w:r>
          </w:p>
        </w:tc>
      </w:tr>
      <w:tr w:rsidR="007E59B3" w:rsidRPr="000C758A" w:rsidTr="00243227">
        <w:trPr>
          <w:trHeight w:val="386"/>
        </w:trPr>
        <w:tc>
          <w:tcPr>
            <w:tcW w:w="1047" w:type="pct"/>
          </w:tcPr>
          <w:p w:rsidR="007E59B3" w:rsidRPr="000C758A" w:rsidRDefault="007E59B3" w:rsidP="005850CC">
            <w:pPr>
              <w:pStyle w:val="ListParagraph"/>
              <w:numPr>
                <w:ilvl w:val="0"/>
                <w:numId w:val="3"/>
              </w:numPr>
              <w:spacing w:after="0" w:line="240" w:lineRule="auto"/>
              <w:ind w:left="342" w:hanging="342"/>
              <w:rPr>
                <w:sz w:val="20"/>
                <w:szCs w:val="20"/>
              </w:rPr>
            </w:pPr>
            <w:r w:rsidRPr="000C758A">
              <w:rPr>
                <w:sz w:val="20"/>
                <w:szCs w:val="20"/>
              </w:rPr>
              <w:t>Technical Specifications and requirements for Technical Acceptability</w:t>
            </w:r>
          </w:p>
        </w:tc>
        <w:tc>
          <w:tcPr>
            <w:tcW w:w="3953" w:type="pct"/>
          </w:tcPr>
          <w:p w:rsidR="00CD7F5F" w:rsidRDefault="00CD7F5F" w:rsidP="008C08DA">
            <w:pPr>
              <w:numPr>
                <w:ilvl w:val="0"/>
                <w:numId w:val="12"/>
              </w:numPr>
              <w:spacing w:after="0" w:line="240" w:lineRule="auto"/>
              <w:ind w:left="340" w:hanging="270"/>
              <w:rPr>
                <w:sz w:val="20"/>
                <w:szCs w:val="20"/>
              </w:rPr>
            </w:pPr>
            <w:r>
              <w:rPr>
                <w:sz w:val="20"/>
                <w:szCs w:val="20"/>
              </w:rPr>
              <w:t xml:space="preserve">Bidders must possess relevant experience in country providing the similar </w:t>
            </w:r>
            <w:r w:rsidR="00BB272E">
              <w:rPr>
                <w:sz w:val="20"/>
                <w:szCs w:val="20"/>
              </w:rPr>
              <w:t>equipment</w:t>
            </w:r>
            <w:r>
              <w:rPr>
                <w:sz w:val="20"/>
                <w:szCs w:val="20"/>
              </w:rPr>
              <w:t xml:space="preserve"> as detailed in the section 9.</w:t>
            </w:r>
          </w:p>
          <w:p w:rsidR="00CD7F5F" w:rsidRDefault="00CD7F5F" w:rsidP="004A22D3">
            <w:pPr>
              <w:numPr>
                <w:ilvl w:val="0"/>
                <w:numId w:val="12"/>
              </w:numPr>
              <w:spacing w:after="0" w:line="240" w:lineRule="auto"/>
              <w:ind w:left="344" w:hanging="270"/>
              <w:rPr>
                <w:sz w:val="20"/>
                <w:szCs w:val="20"/>
              </w:rPr>
            </w:pPr>
            <w:r>
              <w:rPr>
                <w:sz w:val="20"/>
                <w:szCs w:val="20"/>
              </w:rPr>
              <w:t xml:space="preserve">The bidder is responsible to provide new, original and branded </w:t>
            </w:r>
            <w:r w:rsidR="00BB272E" w:rsidRPr="00BB272E">
              <w:rPr>
                <w:sz w:val="20"/>
                <w:szCs w:val="20"/>
              </w:rPr>
              <w:t xml:space="preserve">Provision of </w:t>
            </w:r>
            <w:r w:rsidR="00F90F35" w:rsidRPr="00F90F35">
              <w:rPr>
                <w:sz w:val="20"/>
                <w:szCs w:val="20"/>
              </w:rPr>
              <w:t>Display Case Refrigerator, Deep Freezers</w:t>
            </w:r>
            <w:r w:rsidR="0094162A">
              <w:rPr>
                <w:sz w:val="20"/>
                <w:szCs w:val="20"/>
              </w:rPr>
              <w:t xml:space="preserve"> and</w:t>
            </w:r>
            <w:r w:rsidR="00F90F35" w:rsidRPr="00F90F35">
              <w:rPr>
                <w:sz w:val="20"/>
                <w:szCs w:val="20"/>
              </w:rPr>
              <w:t xml:space="preserve"> Aluminum Milk Collection Drums</w:t>
            </w:r>
            <w:r w:rsidR="00211487" w:rsidRPr="00BB272E">
              <w:rPr>
                <w:sz w:val="20"/>
                <w:szCs w:val="20"/>
              </w:rPr>
              <w:t xml:space="preserve"> </w:t>
            </w:r>
            <w:r w:rsidR="00B5695E">
              <w:rPr>
                <w:sz w:val="20"/>
                <w:szCs w:val="20"/>
              </w:rPr>
              <w:t>based on</w:t>
            </w:r>
            <w:r>
              <w:rPr>
                <w:sz w:val="20"/>
                <w:szCs w:val="20"/>
              </w:rPr>
              <w:t xml:space="preserve"> the specifications mentioned in the attachment A, BOQ section of the RFQ</w:t>
            </w:r>
            <w:r w:rsidR="00BB272E">
              <w:rPr>
                <w:sz w:val="20"/>
                <w:szCs w:val="20"/>
              </w:rPr>
              <w:t>.</w:t>
            </w:r>
          </w:p>
          <w:p w:rsidR="00CD7F5F" w:rsidRPr="00CD7F5F" w:rsidRDefault="00CD7F5F" w:rsidP="008C08DA">
            <w:pPr>
              <w:numPr>
                <w:ilvl w:val="0"/>
                <w:numId w:val="12"/>
              </w:numPr>
              <w:spacing w:after="0" w:line="240" w:lineRule="auto"/>
              <w:ind w:left="344" w:hanging="270"/>
              <w:jc w:val="both"/>
              <w:rPr>
                <w:sz w:val="20"/>
                <w:szCs w:val="20"/>
              </w:rPr>
            </w:pPr>
            <w:r w:rsidRPr="00CD7F5F">
              <w:rPr>
                <w:sz w:val="20"/>
                <w:szCs w:val="20"/>
              </w:rPr>
              <w:t>The bidder is responsible to deliver t</w:t>
            </w:r>
            <w:r w:rsidR="00F90F35">
              <w:rPr>
                <w:sz w:val="20"/>
                <w:szCs w:val="20"/>
              </w:rPr>
              <w:t>he requested equipment</w:t>
            </w:r>
            <w:r w:rsidRPr="00CD7F5F">
              <w:rPr>
                <w:sz w:val="20"/>
                <w:szCs w:val="20"/>
              </w:rPr>
              <w:t xml:space="preserve"> to RADP-E grantee’s location in</w:t>
            </w:r>
            <w:r w:rsidR="00771D4D" w:rsidRPr="00243227">
              <w:rPr>
                <w:sz w:val="20"/>
                <w:szCs w:val="20"/>
              </w:rPr>
              <w:t xml:space="preserve"> </w:t>
            </w:r>
            <w:r w:rsidR="00F90F35" w:rsidRPr="00243227">
              <w:rPr>
                <w:sz w:val="20"/>
                <w:szCs w:val="20"/>
              </w:rPr>
              <w:t xml:space="preserve">Next to </w:t>
            </w:r>
            <w:proofErr w:type="spellStart"/>
            <w:r w:rsidR="00F90F35" w:rsidRPr="00243227">
              <w:rPr>
                <w:sz w:val="20"/>
                <w:szCs w:val="20"/>
              </w:rPr>
              <w:t>Qarabagh</w:t>
            </w:r>
            <w:proofErr w:type="spellEnd"/>
            <w:r w:rsidR="00F90F35" w:rsidRPr="00243227">
              <w:rPr>
                <w:sz w:val="20"/>
                <w:szCs w:val="20"/>
              </w:rPr>
              <w:t xml:space="preserve"> District’s new station, Kabul Kandahar Highway, Ghazni Center</w:t>
            </w:r>
            <w:r w:rsidR="006C1E10" w:rsidRPr="00243227">
              <w:rPr>
                <w:sz w:val="20"/>
                <w:szCs w:val="20"/>
              </w:rPr>
              <w:t>, Ghazni</w:t>
            </w:r>
            <w:r w:rsidR="000553FF" w:rsidRPr="00243227">
              <w:rPr>
                <w:sz w:val="20"/>
                <w:szCs w:val="20"/>
              </w:rPr>
              <w:t xml:space="preserve"> province, Afghanistan</w:t>
            </w:r>
            <w:r w:rsidR="001D42F8" w:rsidRPr="00243227">
              <w:rPr>
                <w:sz w:val="20"/>
                <w:szCs w:val="20"/>
              </w:rPr>
              <w:t>.</w:t>
            </w:r>
          </w:p>
          <w:p w:rsidR="00CD7F5F" w:rsidRPr="00CD7F5F" w:rsidRDefault="00CD7F5F" w:rsidP="008C08DA">
            <w:pPr>
              <w:numPr>
                <w:ilvl w:val="0"/>
                <w:numId w:val="12"/>
              </w:numPr>
              <w:spacing w:after="0" w:line="240" w:lineRule="auto"/>
              <w:ind w:left="344" w:hanging="270"/>
              <w:jc w:val="both"/>
              <w:rPr>
                <w:sz w:val="20"/>
                <w:szCs w:val="20"/>
              </w:rPr>
            </w:pPr>
            <w:r w:rsidRPr="00CD7F5F">
              <w:rPr>
                <w:sz w:val="20"/>
                <w:szCs w:val="20"/>
              </w:rPr>
              <w:t>Bidder is respons</w:t>
            </w:r>
            <w:r w:rsidR="00F90F35">
              <w:rPr>
                <w:sz w:val="20"/>
                <w:szCs w:val="20"/>
              </w:rPr>
              <w:t xml:space="preserve">ible to provide new and branded </w:t>
            </w:r>
            <w:r w:rsidR="00F90F35" w:rsidRPr="00F90F35">
              <w:rPr>
                <w:sz w:val="20"/>
                <w:szCs w:val="20"/>
              </w:rPr>
              <w:t>Display Case Refrigerator, Deep Freezers</w:t>
            </w:r>
            <w:r w:rsidR="0094162A">
              <w:rPr>
                <w:sz w:val="20"/>
                <w:szCs w:val="20"/>
              </w:rPr>
              <w:t xml:space="preserve"> and</w:t>
            </w:r>
            <w:r w:rsidR="00F90F35" w:rsidRPr="00F90F35">
              <w:rPr>
                <w:sz w:val="20"/>
                <w:szCs w:val="20"/>
              </w:rPr>
              <w:t xml:space="preserve"> Aluminum Milk Collection Drums</w:t>
            </w:r>
            <w:r w:rsidR="00211487" w:rsidRPr="00BB272E">
              <w:rPr>
                <w:sz w:val="20"/>
                <w:szCs w:val="20"/>
              </w:rPr>
              <w:t xml:space="preserve"> </w:t>
            </w:r>
            <w:r w:rsidRPr="00CD7F5F">
              <w:rPr>
                <w:sz w:val="20"/>
                <w:szCs w:val="20"/>
              </w:rPr>
              <w:t>according to the name, spec</w:t>
            </w:r>
            <w:r w:rsidR="0094162A">
              <w:rPr>
                <w:sz w:val="20"/>
                <w:szCs w:val="20"/>
              </w:rPr>
              <w:t>ification</w:t>
            </w:r>
            <w:r w:rsidRPr="00CD7F5F">
              <w:rPr>
                <w:sz w:val="20"/>
                <w:szCs w:val="20"/>
              </w:rPr>
              <w:t>s given in attachment A of this RFQ.</w:t>
            </w:r>
          </w:p>
          <w:p w:rsidR="00CD7F5F" w:rsidRDefault="00CD7F5F" w:rsidP="004A22D3">
            <w:pPr>
              <w:numPr>
                <w:ilvl w:val="0"/>
                <w:numId w:val="12"/>
              </w:numPr>
              <w:spacing w:after="0" w:line="240" w:lineRule="auto"/>
              <w:ind w:left="344" w:hanging="270"/>
              <w:rPr>
                <w:sz w:val="20"/>
                <w:szCs w:val="20"/>
              </w:rPr>
            </w:pPr>
            <w:r>
              <w:rPr>
                <w:sz w:val="20"/>
                <w:szCs w:val="20"/>
              </w:rPr>
              <w:t xml:space="preserve">DAI RADP-E will inspect the delivered </w:t>
            </w:r>
            <w:r w:rsidR="00F90F35" w:rsidRPr="00F90F35">
              <w:rPr>
                <w:sz w:val="20"/>
                <w:szCs w:val="20"/>
              </w:rPr>
              <w:t>Display Case Refrigerator, Deep Freezers</w:t>
            </w:r>
            <w:r w:rsidR="0094162A">
              <w:rPr>
                <w:sz w:val="20"/>
                <w:szCs w:val="20"/>
              </w:rPr>
              <w:t xml:space="preserve"> and</w:t>
            </w:r>
            <w:r w:rsidR="00F90F35" w:rsidRPr="00F90F35">
              <w:rPr>
                <w:sz w:val="20"/>
                <w:szCs w:val="20"/>
              </w:rPr>
              <w:t xml:space="preserve"> Aluminum Milk Collection Drums</w:t>
            </w:r>
            <w:r>
              <w:rPr>
                <w:sz w:val="20"/>
                <w:szCs w:val="20"/>
              </w:rPr>
              <w:t>. If specifications do not match the RFQ</w:t>
            </w:r>
            <w:r w:rsidR="00F90F35">
              <w:rPr>
                <w:sz w:val="20"/>
                <w:szCs w:val="20"/>
              </w:rPr>
              <w:t xml:space="preserve"> requirements, the equipment </w:t>
            </w:r>
            <w:r>
              <w:rPr>
                <w:sz w:val="20"/>
                <w:szCs w:val="20"/>
              </w:rPr>
              <w:t>will be rejected and the bidder will not be paid, and it is the selected bidder’s responsibility to replace the mentioned items ASAP.</w:t>
            </w:r>
          </w:p>
          <w:p w:rsidR="00CD7F5F" w:rsidRDefault="00CD7F5F" w:rsidP="004A22D3">
            <w:pPr>
              <w:pStyle w:val="ListParagraph"/>
              <w:numPr>
                <w:ilvl w:val="0"/>
                <w:numId w:val="12"/>
              </w:numPr>
              <w:spacing w:after="0" w:line="240" w:lineRule="auto"/>
              <w:ind w:left="340" w:hanging="270"/>
              <w:jc w:val="both"/>
              <w:rPr>
                <w:sz w:val="20"/>
                <w:szCs w:val="20"/>
              </w:rPr>
            </w:pPr>
            <w:r>
              <w:rPr>
                <w:sz w:val="20"/>
                <w:szCs w:val="20"/>
              </w:rPr>
              <w:t>Bidder must have the technical and financial capability to provide the requested equipment</w:t>
            </w:r>
            <w:r w:rsidR="00BB272E">
              <w:rPr>
                <w:sz w:val="20"/>
                <w:szCs w:val="20"/>
              </w:rPr>
              <w:t>.</w:t>
            </w:r>
          </w:p>
          <w:p w:rsidR="008C08DA" w:rsidRDefault="008C08DA" w:rsidP="004A22D3">
            <w:pPr>
              <w:pStyle w:val="ListParagraph"/>
              <w:numPr>
                <w:ilvl w:val="0"/>
                <w:numId w:val="12"/>
              </w:numPr>
              <w:spacing w:after="0" w:line="240" w:lineRule="auto"/>
              <w:ind w:left="340" w:hanging="270"/>
              <w:jc w:val="both"/>
              <w:rPr>
                <w:sz w:val="20"/>
                <w:szCs w:val="20"/>
              </w:rPr>
            </w:pPr>
            <w:r>
              <w:rPr>
                <w:sz w:val="20"/>
                <w:szCs w:val="20"/>
              </w:rPr>
              <w:t xml:space="preserve">Bidder shall offer realistic and reasonable price for the equipment listed in the RFQ. Unrealistically low or high prices will not be considered for evaluation. </w:t>
            </w:r>
          </w:p>
          <w:p w:rsidR="00CD7F5F" w:rsidRDefault="00CD7F5F" w:rsidP="004A22D3">
            <w:pPr>
              <w:pStyle w:val="ListParagraph"/>
              <w:numPr>
                <w:ilvl w:val="0"/>
                <w:numId w:val="12"/>
              </w:numPr>
              <w:spacing w:after="0" w:line="240" w:lineRule="auto"/>
              <w:ind w:left="340" w:hanging="270"/>
              <w:rPr>
                <w:sz w:val="20"/>
                <w:szCs w:val="20"/>
              </w:rPr>
            </w:pPr>
            <w:r>
              <w:rPr>
                <w:sz w:val="20"/>
                <w:szCs w:val="20"/>
              </w:rPr>
              <w:t>Bidder shall provide the brand, model, source, origin and information of the manufacturer from w</w:t>
            </w:r>
            <w:r w:rsidR="00F90F35">
              <w:rPr>
                <w:sz w:val="20"/>
                <w:szCs w:val="20"/>
              </w:rPr>
              <w:t xml:space="preserve">here they supply the machinery, </w:t>
            </w:r>
            <w:r>
              <w:rPr>
                <w:sz w:val="20"/>
                <w:szCs w:val="20"/>
              </w:rPr>
              <w:t>equipment</w:t>
            </w:r>
            <w:r w:rsidR="003B5B90">
              <w:rPr>
                <w:sz w:val="20"/>
                <w:szCs w:val="20"/>
              </w:rPr>
              <w:t>, material</w:t>
            </w:r>
            <w:r>
              <w:rPr>
                <w:sz w:val="20"/>
                <w:szCs w:val="20"/>
              </w:rPr>
              <w:t xml:space="preserve"> or tools. </w:t>
            </w:r>
            <w:r w:rsidR="008C08DA">
              <w:rPr>
                <w:sz w:val="20"/>
                <w:szCs w:val="20"/>
              </w:rPr>
              <w:t xml:space="preserve">Bidders will not be considered for next steps of evaluation if they fail to provide the mentioned information, or if the source and origin is not relevant or reliable. </w:t>
            </w:r>
          </w:p>
          <w:p w:rsidR="00CD7F5F" w:rsidRDefault="00CD7F5F" w:rsidP="004A22D3">
            <w:pPr>
              <w:pStyle w:val="ListParagraph"/>
              <w:numPr>
                <w:ilvl w:val="0"/>
                <w:numId w:val="12"/>
              </w:numPr>
              <w:spacing w:after="0" w:line="240" w:lineRule="auto"/>
              <w:ind w:left="340" w:hanging="270"/>
              <w:rPr>
                <w:sz w:val="20"/>
                <w:szCs w:val="20"/>
              </w:rPr>
            </w:pPr>
            <w:r>
              <w:rPr>
                <w:sz w:val="20"/>
                <w:szCs w:val="20"/>
              </w:rPr>
              <w:t>Bidder must fill out attachments mentioned in Attachment D: Proposal Checklist</w:t>
            </w:r>
          </w:p>
          <w:p w:rsidR="00CD7F5F" w:rsidRPr="00243227" w:rsidRDefault="00CD7F5F" w:rsidP="004A22D3">
            <w:pPr>
              <w:pStyle w:val="ListParagraph"/>
              <w:numPr>
                <w:ilvl w:val="0"/>
                <w:numId w:val="12"/>
              </w:numPr>
              <w:spacing w:after="0" w:line="240" w:lineRule="auto"/>
              <w:ind w:left="340" w:hanging="270"/>
              <w:rPr>
                <w:sz w:val="20"/>
                <w:szCs w:val="20"/>
              </w:rPr>
            </w:pPr>
            <w:r w:rsidRPr="00243227">
              <w:rPr>
                <w:sz w:val="20"/>
                <w:szCs w:val="20"/>
              </w:rPr>
              <w:t>The vendor is responsible to provide written warranty for the requested equipment/materials</w:t>
            </w:r>
          </w:p>
          <w:p w:rsidR="00CD7F5F" w:rsidRPr="00243227" w:rsidRDefault="00CD7F5F" w:rsidP="008C08DA">
            <w:pPr>
              <w:pStyle w:val="ListParagraph"/>
              <w:numPr>
                <w:ilvl w:val="0"/>
                <w:numId w:val="12"/>
              </w:numPr>
              <w:spacing w:after="0" w:line="240" w:lineRule="auto"/>
              <w:ind w:left="340" w:hanging="270"/>
              <w:rPr>
                <w:sz w:val="20"/>
                <w:szCs w:val="20"/>
              </w:rPr>
            </w:pPr>
            <w:r w:rsidRPr="00B0497F">
              <w:rPr>
                <w:sz w:val="20"/>
                <w:szCs w:val="20"/>
              </w:rPr>
              <w:lastRenderedPageBreak/>
              <w:t>Th</w:t>
            </w:r>
            <w:r w:rsidR="00B5695E">
              <w:rPr>
                <w:sz w:val="20"/>
                <w:szCs w:val="20"/>
              </w:rPr>
              <w:t xml:space="preserve">e bidder is responsible to run </w:t>
            </w:r>
            <w:r w:rsidRPr="00B0497F">
              <w:rPr>
                <w:sz w:val="20"/>
                <w:szCs w:val="20"/>
              </w:rPr>
              <w:t xml:space="preserve">and </w:t>
            </w:r>
            <w:r w:rsidR="00B5695E">
              <w:rPr>
                <w:sz w:val="20"/>
                <w:szCs w:val="20"/>
              </w:rPr>
              <w:t xml:space="preserve">test the equipment </w:t>
            </w:r>
            <w:r w:rsidRPr="00B0497F">
              <w:rPr>
                <w:sz w:val="20"/>
                <w:szCs w:val="20"/>
              </w:rPr>
              <w:t>after the complete delivery to the grantee location.</w:t>
            </w:r>
          </w:p>
          <w:p w:rsidR="008C08DA" w:rsidRPr="00243227" w:rsidRDefault="008C08DA" w:rsidP="004A22D3">
            <w:pPr>
              <w:pStyle w:val="ListParagraph"/>
              <w:spacing w:after="0" w:line="240" w:lineRule="auto"/>
              <w:ind w:left="0"/>
              <w:rPr>
                <w:sz w:val="20"/>
                <w:szCs w:val="20"/>
              </w:rPr>
            </w:pPr>
          </w:p>
        </w:tc>
      </w:tr>
      <w:tr w:rsidR="002C0C24" w:rsidRPr="000C758A" w:rsidTr="00243227">
        <w:tc>
          <w:tcPr>
            <w:tcW w:w="1047" w:type="pct"/>
          </w:tcPr>
          <w:p w:rsidR="002C0C24" w:rsidRPr="000C758A" w:rsidRDefault="002C0C24" w:rsidP="005850CC">
            <w:pPr>
              <w:pStyle w:val="ListParagraph"/>
              <w:numPr>
                <w:ilvl w:val="0"/>
                <w:numId w:val="3"/>
              </w:numPr>
              <w:spacing w:after="0" w:line="240" w:lineRule="auto"/>
              <w:ind w:left="342" w:hanging="342"/>
              <w:rPr>
                <w:sz w:val="20"/>
                <w:szCs w:val="20"/>
              </w:rPr>
            </w:pPr>
            <w:r w:rsidRPr="000C758A">
              <w:rPr>
                <w:sz w:val="20"/>
                <w:szCs w:val="20"/>
              </w:rPr>
              <w:lastRenderedPageBreak/>
              <w:t>Determination of Responsibility</w:t>
            </w:r>
          </w:p>
        </w:tc>
        <w:tc>
          <w:tcPr>
            <w:tcW w:w="3953" w:type="pct"/>
          </w:tcPr>
          <w:p w:rsidR="002C0C24" w:rsidRPr="000C758A" w:rsidRDefault="002C0C24" w:rsidP="00E51B78">
            <w:pPr>
              <w:pStyle w:val="NoSpacing"/>
              <w:jc w:val="both"/>
              <w:rPr>
                <w:rFonts w:cs="Calibri"/>
                <w:sz w:val="20"/>
                <w:szCs w:val="20"/>
              </w:rPr>
            </w:pPr>
            <w:r w:rsidRPr="000C758A">
              <w:rPr>
                <w:rFonts w:cs="Calibri"/>
                <w:sz w:val="20"/>
                <w:szCs w:val="20"/>
              </w:rPr>
              <w:t>DAI will not enter in</w:t>
            </w:r>
            <w:r w:rsidR="008C4DEE" w:rsidRPr="000C758A">
              <w:rPr>
                <w:rFonts w:cs="Calibri"/>
                <w:sz w:val="20"/>
                <w:szCs w:val="20"/>
              </w:rPr>
              <w:t>to any type of agreement with a</w:t>
            </w:r>
            <w:r w:rsidRPr="000C758A">
              <w:rPr>
                <w:rFonts w:cs="Calibri"/>
                <w:sz w:val="20"/>
                <w:szCs w:val="20"/>
              </w:rPr>
              <w:t xml:space="preserve"> </w:t>
            </w:r>
            <w:r w:rsidR="008C4DEE" w:rsidRPr="000C758A">
              <w:rPr>
                <w:rFonts w:cs="Calibri"/>
                <w:sz w:val="20"/>
                <w:szCs w:val="20"/>
              </w:rPr>
              <w:t>vendor</w:t>
            </w:r>
            <w:r w:rsidRPr="000C758A">
              <w:rPr>
                <w:rFonts w:cs="Calibri"/>
                <w:sz w:val="20"/>
                <w:szCs w:val="20"/>
              </w:rPr>
              <w:t xml:space="preserve"> prior to ensuring the </w:t>
            </w:r>
            <w:r w:rsidR="008C4DEE" w:rsidRPr="000C758A">
              <w:rPr>
                <w:rFonts w:cs="Calibri"/>
                <w:sz w:val="20"/>
                <w:szCs w:val="20"/>
              </w:rPr>
              <w:t>vendor</w:t>
            </w:r>
            <w:r w:rsidRPr="000C758A">
              <w:rPr>
                <w:rFonts w:cs="Calibri"/>
                <w:sz w:val="20"/>
                <w:szCs w:val="20"/>
              </w:rPr>
              <w:t xml:space="preserve">’s responsibility. When assessing </w:t>
            </w:r>
            <w:r w:rsidR="00A764C8" w:rsidRPr="000C758A">
              <w:rPr>
                <w:rFonts w:cs="Calibri"/>
                <w:sz w:val="20"/>
                <w:szCs w:val="20"/>
              </w:rPr>
              <w:t xml:space="preserve">the </w:t>
            </w:r>
            <w:r w:rsidR="008C4DEE" w:rsidRPr="000C758A">
              <w:rPr>
                <w:rFonts w:cs="Calibri"/>
                <w:sz w:val="20"/>
                <w:szCs w:val="20"/>
              </w:rPr>
              <w:t>vendor</w:t>
            </w:r>
            <w:r w:rsidRPr="000C758A">
              <w:rPr>
                <w:rFonts w:cs="Calibri"/>
                <w:sz w:val="20"/>
                <w:szCs w:val="20"/>
              </w:rPr>
              <w:t>’s responsibility, the following factors are taken into consideration:</w:t>
            </w:r>
          </w:p>
          <w:p w:rsidR="002C0C24" w:rsidRPr="000C758A" w:rsidRDefault="00BC5AAC" w:rsidP="005850CC">
            <w:pPr>
              <w:pStyle w:val="ListParagraph"/>
              <w:numPr>
                <w:ilvl w:val="0"/>
                <w:numId w:val="11"/>
              </w:numPr>
              <w:autoSpaceDE w:val="0"/>
              <w:autoSpaceDN w:val="0"/>
              <w:adjustRightInd w:val="0"/>
              <w:spacing w:after="0" w:line="240" w:lineRule="auto"/>
              <w:ind w:left="321" w:hanging="270"/>
              <w:jc w:val="both"/>
              <w:rPr>
                <w:color w:val="000000"/>
                <w:sz w:val="20"/>
                <w:szCs w:val="20"/>
              </w:rPr>
            </w:pPr>
            <w:r w:rsidRPr="000C758A">
              <w:rPr>
                <w:color w:val="000000"/>
                <w:sz w:val="20"/>
                <w:szCs w:val="20"/>
              </w:rPr>
              <w:t>Provide copies of the required business licenses to operate in the host country</w:t>
            </w:r>
            <w:r w:rsidR="000967A4" w:rsidRPr="000C758A">
              <w:rPr>
                <w:color w:val="000000"/>
                <w:sz w:val="20"/>
                <w:szCs w:val="20"/>
              </w:rPr>
              <w:t xml:space="preserve"> (such as AISA license</w:t>
            </w:r>
            <w:r w:rsidR="009972FC" w:rsidRPr="000C758A">
              <w:rPr>
                <w:color w:val="000000"/>
                <w:sz w:val="20"/>
                <w:szCs w:val="20"/>
              </w:rPr>
              <w:t xml:space="preserve"> or Ministry of Commerce business license</w:t>
            </w:r>
            <w:r w:rsidR="000967A4" w:rsidRPr="000C758A">
              <w:rPr>
                <w:color w:val="000000"/>
                <w:sz w:val="20"/>
                <w:szCs w:val="20"/>
              </w:rPr>
              <w:t>)</w:t>
            </w:r>
            <w:r w:rsidRPr="000C758A">
              <w:rPr>
                <w:color w:val="000000"/>
                <w:sz w:val="20"/>
                <w:szCs w:val="20"/>
              </w:rPr>
              <w:t>.</w:t>
            </w:r>
          </w:p>
          <w:p w:rsidR="002C0C24" w:rsidRPr="000C758A" w:rsidRDefault="00BC5AAC" w:rsidP="005850CC">
            <w:pPr>
              <w:pStyle w:val="ListParagraph"/>
              <w:numPr>
                <w:ilvl w:val="0"/>
                <w:numId w:val="11"/>
              </w:numPr>
              <w:autoSpaceDE w:val="0"/>
              <w:autoSpaceDN w:val="0"/>
              <w:adjustRightInd w:val="0"/>
              <w:spacing w:after="0" w:line="240" w:lineRule="auto"/>
              <w:ind w:left="321" w:hanging="270"/>
              <w:jc w:val="both"/>
              <w:rPr>
                <w:color w:val="000000"/>
                <w:sz w:val="20"/>
                <w:szCs w:val="20"/>
              </w:rPr>
            </w:pPr>
            <w:r w:rsidRPr="000C758A">
              <w:rPr>
                <w:color w:val="000000"/>
                <w:sz w:val="20"/>
                <w:szCs w:val="20"/>
              </w:rPr>
              <w:t>Ability to comply with required or proposed delivery or performance schedules.</w:t>
            </w:r>
          </w:p>
          <w:p w:rsidR="00360B01" w:rsidRPr="000C758A" w:rsidRDefault="00B12DDB" w:rsidP="005850CC">
            <w:pPr>
              <w:pStyle w:val="ListParagraph"/>
              <w:numPr>
                <w:ilvl w:val="0"/>
                <w:numId w:val="11"/>
              </w:numPr>
              <w:autoSpaceDE w:val="0"/>
              <w:autoSpaceDN w:val="0"/>
              <w:adjustRightInd w:val="0"/>
              <w:spacing w:after="0" w:line="240" w:lineRule="auto"/>
              <w:ind w:left="321" w:hanging="270"/>
              <w:jc w:val="both"/>
              <w:rPr>
                <w:color w:val="000000"/>
                <w:sz w:val="20"/>
                <w:szCs w:val="20"/>
              </w:rPr>
            </w:pPr>
            <w:r w:rsidRPr="000C758A">
              <w:rPr>
                <w:sz w:val="20"/>
                <w:szCs w:val="20"/>
              </w:rPr>
              <w:t>Pursuant to USAID Mission Order 201.04 (4-14.001), RADP-E is required to vet all non-US parties selected for the award of a subcontract/procurements equal to or in excess of the Afghani equivalent to USD$25,000. Please be prepared to complete and submit the PIF (see attachment) and provide all supporting documentation to the procurement unit if requested to do so. The vetting process may take up to 4 weeks to complete</w:t>
            </w:r>
            <w:r w:rsidR="00C7182B" w:rsidRPr="000C758A">
              <w:rPr>
                <w:sz w:val="20"/>
                <w:szCs w:val="20"/>
              </w:rPr>
              <w:t>.</w:t>
            </w:r>
            <w:r w:rsidR="00360B01" w:rsidRPr="000C758A">
              <w:rPr>
                <w:sz w:val="20"/>
                <w:szCs w:val="20"/>
              </w:rPr>
              <w:t xml:space="preserve"> </w:t>
            </w:r>
          </w:p>
          <w:p w:rsidR="00360B01" w:rsidRPr="000C758A" w:rsidRDefault="00360B01" w:rsidP="005850CC">
            <w:pPr>
              <w:pStyle w:val="ListParagraph"/>
              <w:numPr>
                <w:ilvl w:val="0"/>
                <w:numId w:val="11"/>
              </w:numPr>
              <w:spacing w:after="0" w:line="240" w:lineRule="auto"/>
              <w:ind w:left="321" w:hanging="270"/>
              <w:jc w:val="both"/>
              <w:rPr>
                <w:sz w:val="20"/>
                <w:szCs w:val="20"/>
              </w:rPr>
            </w:pPr>
            <w:r w:rsidRPr="000C758A">
              <w:rPr>
                <w:sz w:val="20"/>
                <w:szCs w:val="20"/>
              </w:rPr>
              <w:t>Evidence of a DUNS number if required (explained below).</w:t>
            </w:r>
          </w:p>
          <w:p w:rsidR="00360B01" w:rsidRPr="000C758A" w:rsidRDefault="00360B01" w:rsidP="005850CC">
            <w:pPr>
              <w:pStyle w:val="ListParagraph"/>
              <w:numPr>
                <w:ilvl w:val="0"/>
                <w:numId w:val="11"/>
              </w:numPr>
              <w:spacing w:after="0" w:line="240" w:lineRule="auto"/>
              <w:ind w:left="321" w:hanging="270"/>
              <w:jc w:val="both"/>
              <w:rPr>
                <w:sz w:val="20"/>
                <w:szCs w:val="20"/>
              </w:rPr>
            </w:pPr>
            <w:r w:rsidRPr="000C758A">
              <w:rPr>
                <w:sz w:val="20"/>
                <w:szCs w:val="20"/>
              </w:rPr>
              <w:t>The source, origin and nationality of the services are not from a Prohibited Country (explained below).</w:t>
            </w:r>
          </w:p>
          <w:p w:rsidR="00360B01" w:rsidRPr="000C758A" w:rsidRDefault="00360B01" w:rsidP="005850CC">
            <w:pPr>
              <w:pStyle w:val="ListParagraph"/>
              <w:numPr>
                <w:ilvl w:val="0"/>
                <w:numId w:val="11"/>
              </w:numPr>
              <w:spacing w:after="0" w:line="240" w:lineRule="auto"/>
              <w:ind w:left="321" w:hanging="270"/>
              <w:jc w:val="both"/>
              <w:rPr>
                <w:sz w:val="20"/>
                <w:szCs w:val="20"/>
              </w:rPr>
            </w:pPr>
            <w:r w:rsidRPr="000C758A">
              <w:rPr>
                <w:sz w:val="20"/>
                <w:szCs w:val="20"/>
              </w:rPr>
              <w:t>Having adequate financial resources to deliver goods</w:t>
            </w:r>
            <w:r w:rsidR="00A441B9" w:rsidRPr="000C758A">
              <w:rPr>
                <w:sz w:val="20"/>
                <w:szCs w:val="20"/>
              </w:rPr>
              <w:t>/Service</w:t>
            </w:r>
            <w:r w:rsidRPr="000C758A">
              <w:rPr>
                <w:sz w:val="20"/>
                <w:szCs w:val="20"/>
              </w:rPr>
              <w:t xml:space="preserve"> or the ability to obtain financial resources.</w:t>
            </w:r>
          </w:p>
          <w:p w:rsidR="00360B01" w:rsidRPr="000C758A" w:rsidRDefault="00701948" w:rsidP="005850CC">
            <w:pPr>
              <w:pStyle w:val="ListParagraph"/>
              <w:numPr>
                <w:ilvl w:val="0"/>
                <w:numId w:val="11"/>
              </w:numPr>
              <w:spacing w:after="0" w:line="240" w:lineRule="auto"/>
              <w:ind w:left="321" w:hanging="270"/>
              <w:jc w:val="both"/>
              <w:rPr>
                <w:sz w:val="20"/>
                <w:szCs w:val="20"/>
              </w:rPr>
            </w:pPr>
            <w:r>
              <w:rPr>
                <w:sz w:val="20"/>
                <w:szCs w:val="20"/>
              </w:rPr>
              <w:t xml:space="preserve"> </w:t>
            </w:r>
            <w:r w:rsidR="00360B01" w:rsidRPr="000C758A">
              <w:rPr>
                <w:sz w:val="20"/>
                <w:szCs w:val="20"/>
              </w:rPr>
              <w:t xml:space="preserve">Ability to comply with required or proposed delivery or </w:t>
            </w:r>
            <w:r w:rsidR="000E4C52">
              <w:rPr>
                <w:sz w:val="20"/>
                <w:szCs w:val="20"/>
              </w:rPr>
              <w:t xml:space="preserve">provide </w:t>
            </w:r>
            <w:r w:rsidR="00360B01" w:rsidRPr="000C758A">
              <w:rPr>
                <w:sz w:val="20"/>
                <w:szCs w:val="20"/>
              </w:rPr>
              <w:t>performance schedules.</w:t>
            </w:r>
          </w:p>
          <w:p w:rsidR="00360B01" w:rsidRPr="000C758A" w:rsidRDefault="00701948" w:rsidP="005850CC">
            <w:pPr>
              <w:pStyle w:val="ListParagraph"/>
              <w:numPr>
                <w:ilvl w:val="0"/>
                <w:numId w:val="11"/>
              </w:numPr>
              <w:spacing w:after="0" w:line="240" w:lineRule="auto"/>
              <w:ind w:left="321" w:hanging="270"/>
              <w:jc w:val="both"/>
              <w:rPr>
                <w:sz w:val="20"/>
                <w:szCs w:val="20"/>
              </w:rPr>
            </w:pPr>
            <w:r>
              <w:rPr>
                <w:sz w:val="20"/>
                <w:szCs w:val="20"/>
              </w:rPr>
              <w:t xml:space="preserve"> </w:t>
            </w:r>
            <w:r w:rsidR="00360B01" w:rsidRPr="000C758A">
              <w:rPr>
                <w:sz w:val="20"/>
                <w:szCs w:val="20"/>
              </w:rPr>
              <w:t>Have a satisfactory record of integrity</w:t>
            </w:r>
            <w:r w:rsidR="009B5918">
              <w:rPr>
                <w:sz w:val="20"/>
                <w:szCs w:val="20"/>
              </w:rPr>
              <w:t>, performance</w:t>
            </w:r>
            <w:r w:rsidR="00360B01" w:rsidRPr="000C758A">
              <w:rPr>
                <w:sz w:val="20"/>
                <w:szCs w:val="20"/>
              </w:rPr>
              <w:t xml:space="preserve"> and business ethics.</w:t>
            </w:r>
          </w:p>
          <w:p w:rsidR="00360B01" w:rsidRPr="000C758A" w:rsidRDefault="00701948" w:rsidP="005850CC">
            <w:pPr>
              <w:pStyle w:val="ListParagraph"/>
              <w:numPr>
                <w:ilvl w:val="0"/>
                <w:numId w:val="11"/>
              </w:numPr>
              <w:autoSpaceDE w:val="0"/>
              <w:autoSpaceDN w:val="0"/>
              <w:adjustRightInd w:val="0"/>
              <w:spacing w:after="0" w:line="240" w:lineRule="auto"/>
              <w:ind w:left="321" w:hanging="270"/>
              <w:jc w:val="both"/>
              <w:rPr>
                <w:color w:val="000000"/>
                <w:sz w:val="20"/>
                <w:szCs w:val="20"/>
              </w:rPr>
            </w:pPr>
            <w:r>
              <w:rPr>
                <w:sz w:val="20"/>
                <w:szCs w:val="20"/>
              </w:rPr>
              <w:t xml:space="preserve"> </w:t>
            </w:r>
            <w:r w:rsidR="00360B01" w:rsidRPr="000C758A">
              <w:rPr>
                <w:sz w:val="20"/>
                <w:szCs w:val="20"/>
              </w:rPr>
              <w:t>Be qualified and eligible to perform work under applicable laws and regulations</w:t>
            </w:r>
            <w:r w:rsidR="00360B01" w:rsidRPr="000C758A">
              <w:rPr>
                <w:color w:val="000000"/>
                <w:sz w:val="20"/>
                <w:szCs w:val="20"/>
              </w:rPr>
              <w:t>.</w:t>
            </w:r>
          </w:p>
        </w:tc>
      </w:tr>
      <w:tr w:rsidR="002C0C24" w:rsidRPr="000C758A" w:rsidTr="00243227">
        <w:tc>
          <w:tcPr>
            <w:tcW w:w="1047" w:type="pct"/>
          </w:tcPr>
          <w:p w:rsidR="002C0C24" w:rsidRPr="000C758A" w:rsidRDefault="002C0C24" w:rsidP="005850CC">
            <w:pPr>
              <w:pStyle w:val="ListParagraph"/>
              <w:numPr>
                <w:ilvl w:val="0"/>
                <w:numId w:val="3"/>
              </w:numPr>
              <w:spacing w:after="0" w:line="240" w:lineRule="auto"/>
              <w:ind w:left="342" w:hanging="342"/>
              <w:rPr>
                <w:sz w:val="20"/>
                <w:szCs w:val="20"/>
              </w:rPr>
            </w:pPr>
            <w:r w:rsidRPr="000C758A">
              <w:rPr>
                <w:sz w:val="20"/>
                <w:szCs w:val="20"/>
              </w:rPr>
              <w:t>Geographic Code</w:t>
            </w:r>
          </w:p>
        </w:tc>
        <w:tc>
          <w:tcPr>
            <w:tcW w:w="3953" w:type="pct"/>
          </w:tcPr>
          <w:p w:rsidR="002C0C24" w:rsidRPr="00620243" w:rsidRDefault="002C0C24" w:rsidP="005850CC">
            <w:pPr>
              <w:pStyle w:val="ListParagraph"/>
              <w:numPr>
                <w:ilvl w:val="0"/>
                <w:numId w:val="10"/>
              </w:numPr>
              <w:spacing w:after="0" w:line="240" w:lineRule="auto"/>
              <w:ind w:left="321" w:hanging="270"/>
              <w:rPr>
                <w:sz w:val="20"/>
                <w:szCs w:val="20"/>
              </w:rPr>
            </w:pPr>
            <w:r w:rsidRPr="00620243">
              <w:rPr>
                <w:sz w:val="20"/>
                <w:szCs w:val="20"/>
              </w:rPr>
              <w:t xml:space="preserve">Under the authorized geographic code for its </w:t>
            </w:r>
            <w:r w:rsidR="00A44F5E" w:rsidRPr="00620243">
              <w:rPr>
                <w:sz w:val="20"/>
                <w:szCs w:val="20"/>
              </w:rPr>
              <w:t>contract,</w:t>
            </w:r>
            <w:r w:rsidRPr="00620243">
              <w:rPr>
                <w:sz w:val="20"/>
                <w:szCs w:val="20"/>
              </w:rPr>
              <w:t xml:space="preserve"> DAI may only procure goods and services from the following countries. </w:t>
            </w:r>
          </w:p>
          <w:p w:rsidR="002C0C24" w:rsidRPr="00620243" w:rsidRDefault="002C0C24" w:rsidP="005850CC">
            <w:pPr>
              <w:pStyle w:val="ListParagraph"/>
              <w:numPr>
                <w:ilvl w:val="0"/>
                <w:numId w:val="10"/>
              </w:numPr>
              <w:spacing w:after="0" w:line="240" w:lineRule="auto"/>
              <w:ind w:left="321" w:hanging="270"/>
              <w:rPr>
                <w:sz w:val="20"/>
                <w:szCs w:val="20"/>
              </w:rPr>
            </w:pPr>
            <w:r w:rsidRPr="00620243">
              <w:rPr>
                <w:sz w:val="20"/>
                <w:szCs w:val="20"/>
              </w:rPr>
              <w:t xml:space="preserve">Geographic Code 937: Goods and services from the United States, the cooperating country, and "Developing Countries" other than "Advanced Developing </w:t>
            </w:r>
            <w:r w:rsidR="00A441B9" w:rsidRPr="00620243">
              <w:rPr>
                <w:sz w:val="20"/>
                <w:szCs w:val="20"/>
              </w:rPr>
              <w:t>Countries:</w:t>
            </w:r>
            <w:r w:rsidRPr="00620243">
              <w:rPr>
                <w:sz w:val="20"/>
                <w:szCs w:val="20"/>
              </w:rPr>
              <w:t xml:space="preserve"> excluding prohibited countries. A list of the "Developing Countries" as well as "Advanced Developing Countries" can be found </w:t>
            </w:r>
            <w:r w:rsidR="00A44F5E" w:rsidRPr="00620243">
              <w:rPr>
                <w:sz w:val="20"/>
                <w:szCs w:val="20"/>
              </w:rPr>
              <w:t>at</w:t>
            </w:r>
            <w:r w:rsidR="00C807BD" w:rsidRPr="00620243">
              <w:rPr>
                <w:sz w:val="20"/>
                <w:szCs w:val="20"/>
              </w:rPr>
              <w:t xml:space="preserve"> </w:t>
            </w:r>
            <w:hyperlink r:id="rId11" w:history="1">
              <w:r w:rsidRPr="00620243">
                <w:rPr>
                  <w:sz w:val="20"/>
                  <w:szCs w:val="20"/>
                </w:rPr>
                <w:t>http://www.usaid.gov/policy/ads/300/310maa.pdf</w:t>
              </w:r>
            </w:hyperlink>
            <w:r w:rsidRPr="00620243">
              <w:rPr>
                <w:sz w:val="20"/>
                <w:szCs w:val="20"/>
              </w:rPr>
              <w:t xml:space="preserve"> and </w:t>
            </w:r>
            <w:hyperlink r:id="rId12" w:history="1">
              <w:r w:rsidRPr="00620243">
                <w:rPr>
                  <w:sz w:val="20"/>
                  <w:szCs w:val="20"/>
                </w:rPr>
                <w:t>http://www.usaid.gov/policy/ads/300/310mab.pdf</w:t>
              </w:r>
            </w:hyperlink>
            <w:r w:rsidRPr="00620243">
              <w:rPr>
                <w:sz w:val="20"/>
                <w:szCs w:val="20"/>
              </w:rPr>
              <w:t xml:space="preserve"> respectively.</w:t>
            </w:r>
          </w:p>
          <w:p w:rsidR="002C0C24" w:rsidRPr="00620243" w:rsidRDefault="002C0C24" w:rsidP="005850CC">
            <w:pPr>
              <w:pStyle w:val="ListParagraph"/>
              <w:numPr>
                <w:ilvl w:val="0"/>
                <w:numId w:val="10"/>
              </w:numPr>
              <w:spacing w:after="0" w:line="240" w:lineRule="auto"/>
              <w:ind w:left="321" w:hanging="270"/>
              <w:rPr>
                <w:sz w:val="20"/>
                <w:szCs w:val="20"/>
              </w:rPr>
            </w:pPr>
            <w:r w:rsidRPr="00620243">
              <w:rPr>
                <w:sz w:val="20"/>
                <w:szCs w:val="20"/>
              </w:rPr>
              <w:t>Geographic Code 935: Goods and services from any area or country including the cooperating country, but excluding Prohibited Countries.</w:t>
            </w:r>
          </w:p>
          <w:p w:rsidR="002C0C24" w:rsidRPr="00620243" w:rsidRDefault="002C0C24" w:rsidP="005850CC">
            <w:pPr>
              <w:pStyle w:val="ListParagraph"/>
              <w:numPr>
                <w:ilvl w:val="0"/>
                <w:numId w:val="10"/>
              </w:numPr>
              <w:spacing w:after="0" w:line="240" w:lineRule="auto"/>
              <w:ind w:left="321" w:hanging="270"/>
              <w:rPr>
                <w:sz w:val="20"/>
                <w:szCs w:val="20"/>
              </w:rPr>
            </w:pPr>
            <w:r w:rsidRPr="00620243">
              <w:rPr>
                <w:sz w:val="20"/>
                <w:szCs w:val="20"/>
              </w:rPr>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w:t>
            </w:r>
            <w:r w:rsidR="00B50018" w:rsidRPr="00620243">
              <w:rPr>
                <w:sz w:val="20"/>
                <w:szCs w:val="20"/>
              </w:rPr>
              <w:t>include</w:t>
            </w:r>
            <w:r w:rsidRPr="00620243">
              <w:rPr>
                <w:sz w:val="20"/>
                <w:szCs w:val="20"/>
              </w:rPr>
              <w:t xml:space="preserve"> </w:t>
            </w:r>
            <w:r w:rsidRPr="00620243">
              <w:rPr>
                <w:b/>
                <w:bCs/>
                <w:sz w:val="20"/>
                <w:szCs w:val="20"/>
              </w:rPr>
              <w:t>Cuba, Iran, North Korea, Sudan, and Syria</w:t>
            </w:r>
            <w:r w:rsidRPr="00620243">
              <w:rPr>
                <w:sz w:val="20"/>
                <w:szCs w:val="20"/>
              </w:rPr>
              <w:t>.</w:t>
            </w:r>
            <w:r w:rsidR="00B50018" w:rsidRPr="00620243">
              <w:rPr>
                <w:sz w:val="20"/>
                <w:szCs w:val="20"/>
              </w:rPr>
              <w:t xml:space="preserve"> DAI has </w:t>
            </w:r>
            <w:r w:rsidRPr="00620243">
              <w:rPr>
                <w:sz w:val="20"/>
                <w:szCs w:val="20"/>
              </w:rPr>
              <w:t xml:space="preserve">prohibited from facilitating any transaction by a third party if that transaction would be prohibited if performed by DAI.  </w:t>
            </w:r>
          </w:p>
          <w:p w:rsidR="002C0C24" w:rsidRPr="000C758A" w:rsidRDefault="002C0C24" w:rsidP="005850CC">
            <w:pPr>
              <w:pStyle w:val="ListParagraph"/>
              <w:numPr>
                <w:ilvl w:val="0"/>
                <w:numId w:val="10"/>
              </w:numPr>
              <w:spacing w:after="0" w:line="240" w:lineRule="auto"/>
              <w:ind w:left="321" w:hanging="270"/>
              <w:rPr>
                <w:sz w:val="20"/>
                <w:szCs w:val="20"/>
              </w:rPr>
            </w:pPr>
            <w:r w:rsidRPr="00620243">
              <w:rPr>
                <w:sz w:val="20"/>
                <w:szCs w:val="20"/>
              </w:rPr>
              <w:t xml:space="preserve">By submitting a </w:t>
            </w:r>
            <w:r w:rsidR="007C4557" w:rsidRPr="00620243">
              <w:rPr>
                <w:sz w:val="20"/>
                <w:szCs w:val="20"/>
              </w:rPr>
              <w:t>quote</w:t>
            </w:r>
            <w:r w:rsidRPr="00620243">
              <w:rPr>
                <w:sz w:val="20"/>
                <w:szCs w:val="20"/>
              </w:rPr>
              <w:t xml:space="preserve"> in response to this </w:t>
            </w:r>
            <w:r w:rsidR="007C4557" w:rsidRPr="00620243">
              <w:rPr>
                <w:sz w:val="20"/>
                <w:szCs w:val="20"/>
              </w:rPr>
              <w:t>RFQ</w:t>
            </w:r>
            <w:r w:rsidR="00EF0879" w:rsidRPr="00620243">
              <w:rPr>
                <w:sz w:val="20"/>
                <w:szCs w:val="20"/>
              </w:rPr>
              <w:t>, Bidders</w:t>
            </w:r>
            <w:r w:rsidRPr="00620243">
              <w:rPr>
                <w:sz w:val="20"/>
                <w:szCs w:val="20"/>
              </w:rPr>
              <w:t xml:space="preserve"> confirm that they are not violating the Source and Nationality requirements and that the services comply with the Geographic Code and the exclusions for prohibited countries.</w:t>
            </w:r>
          </w:p>
        </w:tc>
      </w:tr>
      <w:tr w:rsidR="002C0C24" w:rsidRPr="000C758A" w:rsidTr="00243227">
        <w:tc>
          <w:tcPr>
            <w:tcW w:w="1047" w:type="pct"/>
          </w:tcPr>
          <w:p w:rsidR="002C0C24" w:rsidRPr="000C758A" w:rsidRDefault="002C0C24" w:rsidP="005850CC">
            <w:pPr>
              <w:pStyle w:val="ListParagraph"/>
              <w:numPr>
                <w:ilvl w:val="0"/>
                <w:numId w:val="3"/>
              </w:numPr>
              <w:spacing w:after="0" w:line="240" w:lineRule="auto"/>
              <w:ind w:left="342" w:hanging="342"/>
              <w:rPr>
                <w:sz w:val="20"/>
                <w:szCs w:val="20"/>
              </w:rPr>
            </w:pPr>
            <w:r w:rsidRPr="000C758A">
              <w:rPr>
                <w:sz w:val="20"/>
                <w:szCs w:val="20"/>
              </w:rPr>
              <w:t>Data Universal Numbering System (DUNS)</w:t>
            </w:r>
          </w:p>
        </w:tc>
        <w:tc>
          <w:tcPr>
            <w:tcW w:w="3953" w:type="pct"/>
          </w:tcPr>
          <w:p w:rsidR="002C0C24" w:rsidRPr="00620243" w:rsidRDefault="002C0C24" w:rsidP="00E51B78">
            <w:pPr>
              <w:autoSpaceDE w:val="0"/>
              <w:autoSpaceDN w:val="0"/>
              <w:adjustRightInd w:val="0"/>
              <w:spacing w:after="0" w:line="240" w:lineRule="auto"/>
              <w:jc w:val="both"/>
              <w:rPr>
                <w:sz w:val="20"/>
                <w:szCs w:val="18"/>
              </w:rPr>
            </w:pPr>
            <w:r w:rsidRPr="00620243">
              <w:rPr>
                <w:sz w:val="20"/>
                <w:szCs w:val="18"/>
              </w:rPr>
              <w:t xml:space="preserve">All U.S. and foreign </w:t>
            </w:r>
            <w:r w:rsidR="00A44F5E" w:rsidRPr="00620243">
              <w:rPr>
                <w:sz w:val="20"/>
                <w:szCs w:val="18"/>
              </w:rPr>
              <w:t>organizations, which</w:t>
            </w:r>
            <w:r w:rsidRPr="00620243">
              <w:rPr>
                <w:sz w:val="20"/>
                <w:szCs w:val="18"/>
              </w:rPr>
              <w:t xml:space="preserve"> receive first-tier </w:t>
            </w:r>
            <w:r w:rsidR="00A44F5E" w:rsidRPr="00620243">
              <w:rPr>
                <w:sz w:val="20"/>
                <w:szCs w:val="18"/>
              </w:rPr>
              <w:t>subcontracts / purchase orders with a value of $25,000 and above,</w:t>
            </w:r>
            <w:r w:rsidRPr="00620243">
              <w:rPr>
                <w:sz w:val="20"/>
                <w:szCs w:val="18"/>
              </w:rPr>
              <w:t xml:space="preserve"> </w:t>
            </w:r>
            <w:r w:rsidRPr="00620243">
              <w:rPr>
                <w:b/>
                <w:sz w:val="20"/>
                <w:szCs w:val="18"/>
              </w:rPr>
              <w:t>are required</w:t>
            </w:r>
            <w:r w:rsidRPr="00620243">
              <w:rPr>
                <w:sz w:val="20"/>
                <w:szCs w:val="18"/>
              </w:rPr>
              <w:t xml:space="preserve"> to obtain a DUNS number prior to signing of the agreement. Organizations are exempt from this requirement if the gross income received from all sources in the previous tax year was under $300,000. DAI requires that </w:t>
            </w:r>
            <w:r w:rsidR="00EF0879" w:rsidRPr="00620243">
              <w:rPr>
                <w:sz w:val="20"/>
                <w:szCs w:val="18"/>
              </w:rPr>
              <w:t>Bidder</w:t>
            </w:r>
            <w:r w:rsidRPr="00620243">
              <w:rPr>
                <w:sz w:val="20"/>
                <w:szCs w:val="18"/>
              </w:rPr>
              <w:t>s</w:t>
            </w:r>
            <w:r w:rsidR="00E71C79" w:rsidRPr="00620243">
              <w:rPr>
                <w:sz w:val="20"/>
                <w:szCs w:val="18"/>
              </w:rPr>
              <w:t xml:space="preserve"> s</w:t>
            </w:r>
            <w:r w:rsidRPr="00620243">
              <w:rPr>
                <w:sz w:val="20"/>
                <w:szCs w:val="18"/>
              </w:rPr>
              <w:t xml:space="preserve">ign the self-certification statement if the </w:t>
            </w:r>
            <w:r w:rsidR="00EF0879" w:rsidRPr="00620243">
              <w:rPr>
                <w:sz w:val="20"/>
                <w:szCs w:val="18"/>
              </w:rPr>
              <w:t xml:space="preserve">Bidder </w:t>
            </w:r>
            <w:r w:rsidRPr="00620243">
              <w:rPr>
                <w:sz w:val="20"/>
                <w:szCs w:val="18"/>
              </w:rPr>
              <w:t>claims exemption for this reason.</w:t>
            </w:r>
          </w:p>
          <w:p w:rsidR="002C0C24" w:rsidRPr="00620243" w:rsidRDefault="002C0C24" w:rsidP="00E51B78">
            <w:pPr>
              <w:autoSpaceDE w:val="0"/>
              <w:autoSpaceDN w:val="0"/>
              <w:adjustRightInd w:val="0"/>
              <w:spacing w:after="0" w:line="240" w:lineRule="auto"/>
              <w:jc w:val="both"/>
              <w:rPr>
                <w:sz w:val="20"/>
                <w:szCs w:val="18"/>
              </w:rPr>
            </w:pPr>
            <w:r w:rsidRPr="00620243">
              <w:rPr>
                <w:sz w:val="20"/>
                <w:szCs w:val="18"/>
              </w:rPr>
              <w:t xml:space="preserve">For those required to obtain a DUNS number, you may request </w:t>
            </w:r>
            <w:r w:rsidR="00EC6429" w:rsidRPr="00620243">
              <w:rPr>
                <w:sz w:val="20"/>
                <w:szCs w:val="18"/>
              </w:rPr>
              <w:t xml:space="preserve">Attachment </w:t>
            </w:r>
            <w:r w:rsidR="004648CA" w:rsidRPr="00620243">
              <w:rPr>
                <w:sz w:val="20"/>
                <w:szCs w:val="18"/>
              </w:rPr>
              <w:t>B</w:t>
            </w:r>
            <w:r w:rsidRPr="00620243">
              <w:rPr>
                <w:sz w:val="20"/>
                <w:szCs w:val="18"/>
              </w:rPr>
              <w:t>: Instructions for Obtaining a DUNS Number.</w:t>
            </w:r>
          </w:p>
          <w:p w:rsidR="002C0C24" w:rsidRPr="000C758A" w:rsidRDefault="002C0C24" w:rsidP="00E51B78">
            <w:pPr>
              <w:pStyle w:val="NoSpacing"/>
              <w:jc w:val="both"/>
              <w:rPr>
                <w:rFonts w:cs="Calibri"/>
                <w:sz w:val="20"/>
                <w:szCs w:val="20"/>
              </w:rPr>
            </w:pPr>
            <w:r w:rsidRPr="00620243">
              <w:rPr>
                <w:sz w:val="20"/>
                <w:szCs w:val="18"/>
              </w:rPr>
              <w:t xml:space="preserve">For those not required to obtain a DUNS number, you may request </w:t>
            </w:r>
            <w:r w:rsidR="004648CA" w:rsidRPr="00620243">
              <w:rPr>
                <w:sz w:val="20"/>
                <w:szCs w:val="18"/>
              </w:rPr>
              <w:t>Attachment B</w:t>
            </w:r>
            <w:r w:rsidRPr="00620243">
              <w:rPr>
                <w:sz w:val="20"/>
                <w:szCs w:val="18"/>
              </w:rPr>
              <w:t>: Self-Certification for Exemption from DUNS Requirement</w:t>
            </w:r>
          </w:p>
        </w:tc>
      </w:tr>
      <w:tr w:rsidR="003B094C" w:rsidRPr="000C758A" w:rsidTr="00243227">
        <w:tc>
          <w:tcPr>
            <w:tcW w:w="1047" w:type="pct"/>
          </w:tcPr>
          <w:p w:rsidR="003B094C" w:rsidRPr="000C758A" w:rsidRDefault="003B094C" w:rsidP="005850CC">
            <w:pPr>
              <w:pStyle w:val="ListParagraph"/>
              <w:numPr>
                <w:ilvl w:val="0"/>
                <w:numId w:val="3"/>
              </w:numPr>
              <w:spacing w:after="0" w:line="240" w:lineRule="auto"/>
              <w:ind w:left="342" w:hanging="342"/>
              <w:rPr>
                <w:sz w:val="20"/>
                <w:szCs w:val="20"/>
              </w:rPr>
            </w:pPr>
            <w:r w:rsidRPr="000C758A">
              <w:rPr>
                <w:sz w:val="20"/>
                <w:szCs w:val="20"/>
              </w:rPr>
              <w:t>Compliance with Terms and Conditions</w:t>
            </w:r>
          </w:p>
        </w:tc>
        <w:tc>
          <w:tcPr>
            <w:tcW w:w="3953" w:type="pct"/>
          </w:tcPr>
          <w:p w:rsidR="003B094C" w:rsidRPr="000C758A" w:rsidRDefault="00EF0879" w:rsidP="00E51B78">
            <w:pPr>
              <w:spacing w:after="0" w:line="240" w:lineRule="auto"/>
              <w:jc w:val="both"/>
              <w:rPr>
                <w:sz w:val="20"/>
                <w:szCs w:val="20"/>
              </w:rPr>
            </w:pPr>
            <w:r w:rsidRPr="000C758A">
              <w:rPr>
                <w:sz w:val="20"/>
                <w:szCs w:val="20"/>
              </w:rPr>
              <w:t xml:space="preserve">Bidder </w:t>
            </w:r>
            <w:r w:rsidR="00636156" w:rsidRPr="000C758A">
              <w:rPr>
                <w:sz w:val="20"/>
                <w:szCs w:val="20"/>
              </w:rPr>
              <w:t xml:space="preserve">shall be aware of the general terms and conditions for an award resulting from this </w:t>
            </w:r>
            <w:r w:rsidR="007C4557" w:rsidRPr="000C758A">
              <w:rPr>
                <w:sz w:val="20"/>
                <w:szCs w:val="20"/>
              </w:rPr>
              <w:t>RFQ</w:t>
            </w:r>
            <w:r w:rsidR="00636156" w:rsidRPr="000C758A">
              <w:rPr>
                <w:sz w:val="20"/>
                <w:szCs w:val="20"/>
              </w:rPr>
              <w:t xml:space="preserve">. The selected </w:t>
            </w:r>
            <w:r w:rsidRPr="000C758A">
              <w:rPr>
                <w:sz w:val="20"/>
                <w:szCs w:val="20"/>
              </w:rPr>
              <w:t xml:space="preserve">Bidder </w:t>
            </w:r>
            <w:r w:rsidR="00636156" w:rsidRPr="000C758A">
              <w:rPr>
                <w:sz w:val="20"/>
                <w:szCs w:val="20"/>
              </w:rPr>
              <w:t>shall comply with all Representations and Certifications of C</w:t>
            </w:r>
            <w:r w:rsidR="00FC5FF3" w:rsidRPr="000C758A">
              <w:rPr>
                <w:sz w:val="20"/>
                <w:szCs w:val="20"/>
              </w:rPr>
              <w:t xml:space="preserve">ompliance listed in Attachment </w:t>
            </w:r>
          </w:p>
        </w:tc>
      </w:tr>
      <w:tr w:rsidR="00CB525F" w:rsidRPr="000C758A" w:rsidTr="00243227">
        <w:tc>
          <w:tcPr>
            <w:tcW w:w="1047" w:type="pct"/>
          </w:tcPr>
          <w:p w:rsidR="00CB525F" w:rsidRPr="000C758A" w:rsidRDefault="004648CA" w:rsidP="005850CC">
            <w:pPr>
              <w:pStyle w:val="ListParagraph"/>
              <w:numPr>
                <w:ilvl w:val="0"/>
                <w:numId w:val="3"/>
              </w:numPr>
              <w:spacing w:after="0" w:line="240" w:lineRule="auto"/>
              <w:ind w:left="342" w:hanging="342"/>
              <w:rPr>
                <w:sz w:val="20"/>
                <w:szCs w:val="20"/>
              </w:rPr>
            </w:pPr>
            <w:r w:rsidRPr="000C758A">
              <w:rPr>
                <w:sz w:val="20"/>
                <w:szCs w:val="20"/>
              </w:rPr>
              <w:t>Procurement Ethic</w:t>
            </w:r>
          </w:p>
        </w:tc>
        <w:tc>
          <w:tcPr>
            <w:tcW w:w="3953" w:type="pct"/>
          </w:tcPr>
          <w:p w:rsidR="00CB525F" w:rsidRPr="000C758A" w:rsidRDefault="00CB525F" w:rsidP="00E51B78">
            <w:pPr>
              <w:spacing w:after="0" w:line="240" w:lineRule="auto"/>
              <w:jc w:val="both"/>
              <w:rPr>
                <w:rFonts w:cs="Tms Rmn"/>
                <w:color w:val="000000"/>
                <w:sz w:val="20"/>
                <w:szCs w:val="20"/>
              </w:rPr>
            </w:pPr>
            <w:r w:rsidRPr="000C758A">
              <w:rPr>
                <w:sz w:val="20"/>
                <w:szCs w:val="20"/>
              </w:rPr>
              <w:t xml:space="preserve">By submitting </w:t>
            </w:r>
            <w:r w:rsidR="001E7865" w:rsidRPr="000C758A">
              <w:rPr>
                <w:sz w:val="20"/>
                <w:szCs w:val="20"/>
              </w:rPr>
              <w:t>a</w:t>
            </w:r>
            <w:r w:rsidRPr="000C758A">
              <w:rPr>
                <w:sz w:val="20"/>
                <w:szCs w:val="20"/>
              </w:rPr>
              <w:t xml:space="preserve"> </w:t>
            </w:r>
            <w:r w:rsidR="00EF0879" w:rsidRPr="000C758A">
              <w:rPr>
                <w:sz w:val="20"/>
                <w:szCs w:val="20"/>
              </w:rPr>
              <w:t>Bidder</w:t>
            </w:r>
            <w:r w:rsidRPr="000C758A">
              <w:rPr>
                <w:sz w:val="20"/>
                <w:szCs w:val="20"/>
              </w:rPr>
              <w:t xml:space="preserve">, </w:t>
            </w:r>
            <w:r w:rsidR="00EF0879" w:rsidRPr="000C758A">
              <w:rPr>
                <w:sz w:val="20"/>
                <w:szCs w:val="20"/>
              </w:rPr>
              <w:t xml:space="preserve">Bidders </w:t>
            </w:r>
            <w:r w:rsidRPr="000C758A">
              <w:rPr>
                <w:sz w:val="20"/>
                <w:szCs w:val="20"/>
              </w:rPr>
              <w:t xml:space="preserve">certify that they </w:t>
            </w:r>
            <w:r w:rsidRPr="000C758A">
              <w:rPr>
                <w:rFonts w:cs="Tms Rmn"/>
                <w:color w:val="000000"/>
                <w:sz w:val="20"/>
                <w:szCs w:val="20"/>
              </w:rPr>
              <w:t xml:space="preserve">have not/will not attempt to bribe or make any payments to DAI employees in return for </w:t>
            </w:r>
            <w:r w:rsidRPr="000C758A">
              <w:rPr>
                <w:rFonts w:cs="Calibri"/>
                <w:color w:val="000000"/>
                <w:sz w:val="20"/>
                <w:szCs w:val="20"/>
              </w:rPr>
              <w:t>preference</w:t>
            </w:r>
            <w:r w:rsidRPr="000C758A">
              <w:rPr>
                <w:rFonts w:cs="Tms Rmn"/>
                <w:color w:val="000000"/>
                <w:sz w:val="20"/>
                <w:szCs w:val="20"/>
              </w:rPr>
              <w:t xml:space="preserve">, nor have any payments with Terrorists, or groups supporting Terrorists, been attempted. </w:t>
            </w:r>
            <w:r w:rsidRPr="000C758A">
              <w:rPr>
                <w:sz w:val="20"/>
                <w:szCs w:val="20"/>
              </w:rPr>
              <w:t xml:space="preserve">Any such practice constitutes an unethical, illegal, and corrupt practice and either the </w:t>
            </w:r>
            <w:r w:rsidR="00EF0879" w:rsidRPr="000C758A">
              <w:rPr>
                <w:sz w:val="20"/>
                <w:szCs w:val="20"/>
              </w:rPr>
              <w:t xml:space="preserve">Bidders </w:t>
            </w:r>
            <w:r w:rsidRPr="000C758A">
              <w:rPr>
                <w:sz w:val="20"/>
                <w:szCs w:val="20"/>
              </w:rPr>
              <w:t>or the DAI staff may report violations to the Toll-Free Ethics and Compliance Anonymous Hotline at +1 855-603-6987, via the DAI website, or via email to FPI_hotline@dai.com.</w:t>
            </w:r>
          </w:p>
        </w:tc>
      </w:tr>
    </w:tbl>
    <w:p w:rsidR="000F29F5" w:rsidRPr="00396267" w:rsidRDefault="000F29F5" w:rsidP="00396267">
      <w:pPr>
        <w:spacing w:after="100" w:line="240" w:lineRule="atLeast"/>
        <w:jc w:val="both"/>
        <w:rPr>
          <w:rFonts w:cs="Calibri"/>
          <w:sz w:val="20"/>
          <w:szCs w:val="18"/>
        </w:rPr>
      </w:pPr>
      <w:bookmarkStart w:id="0" w:name="_Toc335997475"/>
    </w:p>
    <w:p w:rsidR="00B55833" w:rsidRPr="00620243" w:rsidRDefault="000F29F5" w:rsidP="00620243">
      <w:pPr>
        <w:pStyle w:val="Heading2"/>
        <w:numPr>
          <w:ilvl w:val="0"/>
          <w:numId w:val="0"/>
        </w:numPr>
        <w:ind w:left="-540"/>
        <w:rPr>
          <w:rFonts w:ascii="Calibri" w:hAnsi="Calibri" w:cs="Calibri"/>
          <w:i w:val="0"/>
          <w:iCs/>
        </w:rPr>
      </w:pPr>
      <w:r w:rsidRPr="00620243">
        <w:rPr>
          <w:rFonts w:ascii="Calibri" w:hAnsi="Calibri" w:cs="Calibri"/>
          <w:i w:val="0"/>
          <w:iCs/>
        </w:rPr>
        <w:lastRenderedPageBreak/>
        <w:t>Attachment A</w:t>
      </w:r>
      <w:r>
        <w:rPr>
          <w:rFonts w:ascii="Calibri" w:hAnsi="Calibri" w:cs="Calibri"/>
          <w:i w:val="0"/>
          <w:iCs/>
        </w:rPr>
        <w:t xml:space="preserve"> </w:t>
      </w:r>
      <w:r w:rsidR="008F002B" w:rsidRPr="00620243">
        <w:rPr>
          <w:rFonts w:ascii="Calibri" w:hAnsi="Calibri" w:cs="Calibri"/>
          <w:i w:val="0"/>
          <w:iCs/>
        </w:rPr>
        <w:t>Price Schedule</w:t>
      </w:r>
      <w:bookmarkEnd w:id="0"/>
      <w:r w:rsidR="00396267">
        <w:rPr>
          <w:rFonts w:ascii="Calibri" w:hAnsi="Calibri" w:cs="Calibri"/>
          <w:i w:val="0"/>
          <w:iCs/>
        </w:rPr>
        <w:t>.</w:t>
      </w:r>
    </w:p>
    <w:p w:rsidR="007E0C08" w:rsidRDefault="005B329D" w:rsidP="000441E1">
      <w:pPr>
        <w:ind w:left="-540" w:right="-270"/>
        <w:jc w:val="both"/>
        <w:rPr>
          <w:sz w:val="20"/>
          <w:szCs w:val="20"/>
        </w:rPr>
      </w:pPr>
      <w:r w:rsidRPr="009545BD">
        <w:rPr>
          <w:sz w:val="20"/>
          <w:szCs w:val="20"/>
        </w:rPr>
        <w:t xml:space="preserve">The </w:t>
      </w:r>
      <w:r w:rsidR="0031129B" w:rsidRPr="009545BD">
        <w:rPr>
          <w:sz w:val="20"/>
          <w:szCs w:val="20"/>
        </w:rPr>
        <w:t>bidder</w:t>
      </w:r>
      <w:r w:rsidR="00396267">
        <w:rPr>
          <w:sz w:val="20"/>
          <w:szCs w:val="20"/>
        </w:rPr>
        <w:t xml:space="preserve"> shall prepare </w:t>
      </w:r>
      <w:r w:rsidRPr="009545BD">
        <w:rPr>
          <w:sz w:val="20"/>
          <w:szCs w:val="20"/>
        </w:rPr>
        <w:t>qu</w:t>
      </w:r>
      <w:r w:rsidR="00C84690" w:rsidRPr="009545BD">
        <w:rPr>
          <w:sz w:val="20"/>
          <w:szCs w:val="20"/>
        </w:rPr>
        <w:t xml:space="preserve">otations </w:t>
      </w:r>
      <w:r w:rsidR="006D214E">
        <w:rPr>
          <w:sz w:val="20"/>
          <w:szCs w:val="20"/>
        </w:rPr>
        <w:t xml:space="preserve">for the requested </w:t>
      </w:r>
      <w:r w:rsidR="000441E1" w:rsidRPr="00F90F35">
        <w:rPr>
          <w:sz w:val="20"/>
          <w:szCs w:val="20"/>
        </w:rPr>
        <w:t>Display Case Refrigerator, Deep Freezers</w:t>
      </w:r>
      <w:r w:rsidR="0094162A">
        <w:rPr>
          <w:sz w:val="20"/>
          <w:szCs w:val="20"/>
        </w:rPr>
        <w:t xml:space="preserve"> and</w:t>
      </w:r>
      <w:r w:rsidR="000441E1" w:rsidRPr="00F90F35">
        <w:rPr>
          <w:sz w:val="20"/>
          <w:szCs w:val="20"/>
        </w:rPr>
        <w:t xml:space="preserve"> Aluminum Milk Collection Drums</w:t>
      </w:r>
      <w:r w:rsidR="00211487" w:rsidRPr="00BB272E">
        <w:rPr>
          <w:sz w:val="20"/>
          <w:szCs w:val="20"/>
        </w:rPr>
        <w:t xml:space="preserve"> </w:t>
      </w:r>
      <w:r w:rsidR="00396267">
        <w:rPr>
          <w:sz w:val="20"/>
          <w:szCs w:val="20"/>
        </w:rPr>
        <w:t>to</w:t>
      </w:r>
      <w:r w:rsidR="004E1F1A">
        <w:rPr>
          <w:sz w:val="20"/>
          <w:szCs w:val="20"/>
        </w:rPr>
        <w:t xml:space="preserve"> DAI.</w:t>
      </w:r>
    </w:p>
    <w:tbl>
      <w:tblPr>
        <w:tblW w:w="537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3907"/>
        <w:gridCol w:w="641"/>
        <w:gridCol w:w="639"/>
        <w:gridCol w:w="1155"/>
        <w:gridCol w:w="1227"/>
        <w:gridCol w:w="1725"/>
      </w:tblGrid>
      <w:tr w:rsidR="00334435" w:rsidRPr="009E2B0A" w:rsidTr="000A24A3">
        <w:trPr>
          <w:cantSplit/>
          <w:trHeight w:val="557"/>
        </w:trPr>
        <w:tc>
          <w:tcPr>
            <w:tcW w:w="204" w:type="pct"/>
            <w:shd w:val="clear" w:color="auto" w:fill="9CC2E5"/>
            <w:vAlign w:val="center"/>
          </w:tcPr>
          <w:p w:rsidR="007E0C08" w:rsidRPr="009E2B0A" w:rsidRDefault="007E0C08" w:rsidP="005C24A1">
            <w:pPr>
              <w:spacing w:after="0" w:line="240" w:lineRule="auto"/>
              <w:contextualSpacing/>
              <w:jc w:val="center"/>
              <w:rPr>
                <w:rFonts w:cs="Calibri"/>
                <w:b/>
                <w:sz w:val="20"/>
                <w:szCs w:val="20"/>
              </w:rPr>
            </w:pPr>
            <w:r w:rsidRPr="009E2B0A">
              <w:rPr>
                <w:rFonts w:cs="Calibri"/>
                <w:b/>
                <w:sz w:val="20"/>
                <w:szCs w:val="20"/>
              </w:rPr>
              <w:t>#</w:t>
            </w:r>
          </w:p>
        </w:tc>
        <w:tc>
          <w:tcPr>
            <w:tcW w:w="2016" w:type="pct"/>
            <w:shd w:val="clear" w:color="auto" w:fill="9CC2E5"/>
            <w:vAlign w:val="center"/>
          </w:tcPr>
          <w:p w:rsidR="007E0C08" w:rsidRPr="009E2B0A" w:rsidRDefault="007E0C08" w:rsidP="005C24A1">
            <w:pPr>
              <w:spacing w:after="0" w:line="240" w:lineRule="auto"/>
              <w:contextualSpacing/>
              <w:jc w:val="center"/>
              <w:rPr>
                <w:rFonts w:cs="Calibri"/>
                <w:b/>
                <w:sz w:val="20"/>
                <w:szCs w:val="20"/>
              </w:rPr>
            </w:pPr>
            <w:r w:rsidRPr="009E2B0A">
              <w:rPr>
                <w:rFonts w:cs="Calibri"/>
                <w:b/>
                <w:sz w:val="20"/>
                <w:szCs w:val="20"/>
              </w:rPr>
              <w:t>Item Description*</w:t>
            </w:r>
          </w:p>
        </w:tc>
        <w:tc>
          <w:tcPr>
            <w:tcW w:w="331" w:type="pct"/>
            <w:shd w:val="clear" w:color="auto" w:fill="9CC2E5"/>
            <w:vAlign w:val="center"/>
          </w:tcPr>
          <w:p w:rsidR="007E0C08" w:rsidRPr="009E2B0A" w:rsidRDefault="007E0C08" w:rsidP="005C24A1">
            <w:pPr>
              <w:spacing w:after="0" w:line="240" w:lineRule="auto"/>
              <w:contextualSpacing/>
              <w:jc w:val="center"/>
              <w:rPr>
                <w:rFonts w:cs="Calibri"/>
                <w:b/>
                <w:sz w:val="20"/>
                <w:szCs w:val="20"/>
              </w:rPr>
            </w:pPr>
            <w:r w:rsidRPr="009E2B0A">
              <w:rPr>
                <w:rFonts w:cs="Calibri"/>
                <w:b/>
                <w:sz w:val="20"/>
                <w:szCs w:val="20"/>
              </w:rPr>
              <w:t>Unit</w:t>
            </w:r>
          </w:p>
        </w:tc>
        <w:tc>
          <w:tcPr>
            <w:tcW w:w="330" w:type="pct"/>
            <w:shd w:val="clear" w:color="auto" w:fill="9CC2E5"/>
            <w:vAlign w:val="center"/>
          </w:tcPr>
          <w:p w:rsidR="007E0C08" w:rsidRPr="009E2B0A" w:rsidRDefault="007E0C08" w:rsidP="005C24A1">
            <w:pPr>
              <w:spacing w:after="0" w:line="240" w:lineRule="auto"/>
              <w:contextualSpacing/>
              <w:jc w:val="center"/>
              <w:rPr>
                <w:rFonts w:cs="Calibri"/>
                <w:sz w:val="20"/>
                <w:szCs w:val="20"/>
              </w:rPr>
            </w:pPr>
            <w:r w:rsidRPr="009E2B0A">
              <w:rPr>
                <w:rFonts w:cs="Calibri"/>
                <w:b/>
                <w:sz w:val="20"/>
                <w:szCs w:val="20"/>
              </w:rPr>
              <w:t>QTY</w:t>
            </w:r>
          </w:p>
        </w:tc>
        <w:tc>
          <w:tcPr>
            <w:tcW w:w="596" w:type="pct"/>
            <w:shd w:val="clear" w:color="auto" w:fill="9CC2E5"/>
            <w:vAlign w:val="center"/>
          </w:tcPr>
          <w:p w:rsidR="007E0C08" w:rsidRPr="009E2B0A" w:rsidRDefault="00396267" w:rsidP="005C24A1">
            <w:pPr>
              <w:spacing w:after="0" w:line="240" w:lineRule="auto"/>
              <w:contextualSpacing/>
              <w:jc w:val="center"/>
              <w:rPr>
                <w:rFonts w:cs="Calibri"/>
                <w:b/>
                <w:sz w:val="20"/>
                <w:szCs w:val="20"/>
              </w:rPr>
            </w:pPr>
            <w:r w:rsidRPr="009E2B0A">
              <w:rPr>
                <w:rFonts w:cs="Calibri"/>
                <w:b/>
                <w:sz w:val="20"/>
                <w:szCs w:val="20"/>
              </w:rPr>
              <w:t xml:space="preserve">Unit Price </w:t>
            </w:r>
            <w:r w:rsidR="00334435" w:rsidRPr="009E2B0A">
              <w:rPr>
                <w:rFonts w:cs="Calibri"/>
                <w:b/>
                <w:sz w:val="20"/>
                <w:szCs w:val="20"/>
              </w:rPr>
              <w:t xml:space="preserve">for the total line </w:t>
            </w:r>
            <w:r w:rsidRPr="009E2B0A">
              <w:rPr>
                <w:rFonts w:cs="Calibri"/>
                <w:b/>
                <w:sz w:val="20"/>
                <w:szCs w:val="20"/>
              </w:rPr>
              <w:t>(USD</w:t>
            </w:r>
            <w:r w:rsidR="007E0C08" w:rsidRPr="009E2B0A">
              <w:rPr>
                <w:rFonts w:cs="Calibri"/>
                <w:b/>
                <w:sz w:val="20"/>
                <w:szCs w:val="20"/>
              </w:rPr>
              <w:t>)</w:t>
            </w:r>
          </w:p>
        </w:tc>
        <w:tc>
          <w:tcPr>
            <w:tcW w:w="633" w:type="pct"/>
            <w:shd w:val="clear" w:color="auto" w:fill="9CC2E5"/>
            <w:vAlign w:val="center"/>
          </w:tcPr>
          <w:p w:rsidR="007E0C08" w:rsidRPr="009E2B0A" w:rsidRDefault="00396267" w:rsidP="005C24A1">
            <w:pPr>
              <w:spacing w:after="0" w:line="240" w:lineRule="auto"/>
              <w:contextualSpacing/>
              <w:jc w:val="center"/>
              <w:rPr>
                <w:rFonts w:cs="Calibri"/>
                <w:b/>
                <w:sz w:val="20"/>
                <w:szCs w:val="20"/>
              </w:rPr>
            </w:pPr>
            <w:r w:rsidRPr="009E2B0A">
              <w:rPr>
                <w:rFonts w:cs="Calibri"/>
                <w:b/>
                <w:sz w:val="20"/>
                <w:szCs w:val="20"/>
              </w:rPr>
              <w:t xml:space="preserve">Total  price </w:t>
            </w:r>
            <w:r w:rsidR="00334435" w:rsidRPr="009E2B0A">
              <w:rPr>
                <w:rFonts w:cs="Calibri"/>
                <w:b/>
                <w:sz w:val="20"/>
                <w:szCs w:val="20"/>
              </w:rPr>
              <w:t>for the complete line</w:t>
            </w:r>
            <w:r w:rsidRPr="009E2B0A">
              <w:rPr>
                <w:rFonts w:cs="Calibri"/>
                <w:b/>
                <w:sz w:val="20"/>
                <w:szCs w:val="20"/>
              </w:rPr>
              <w:t xml:space="preserve">    (USD</w:t>
            </w:r>
            <w:r w:rsidR="007E0C08" w:rsidRPr="009E2B0A">
              <w:rPr>
                <w:rFonts w:cs="Calibri"/>
                <w:b/>
                <w:sz w:val="20"/>
                <w:szCs w:val="20"/>
              </w:rPr>
              <w:t>)</w:t>
            </w:r>
          </w:p>
        </w:tc>
        <w:tc>
          <w:tcPr>
            <w:tcW w:w="890" w:type="pct"/>
            <w:shd w:val="clear" w:color="auto" w:fill="9CC2E5"/>
            <w:vAlign w:val="center"/>
          </w:tcPr>
          <w:p w:rsidR="007E0C08" w:rsidRPr="009E2B0A" w:rsidRDefault="007E0C08" w:rsidP="005C24A1">
            <w:pPr>
              <w:spacing w:after="0" w:line="240" w:lineRule="auto"/>
              <w:contextualSpacing/>
              <w:jc w:val="center"/>
              <w:rPr>
                <w:rFonts w:cs="Calibri"/>
                <w:b/>
                <w:sz w:val="20"/>
                <w:szCs w:val="20"/>
              </w:rPr>
            </w:pPr>
            <w:r w:rsidRPr="009E2B0A">
              <w:rPr>
                <w:rFonts w:cs="Calibri"/>
                <w:b/>
                <w:sz w:val="20"/>
                <w:szCs w:val="20"/>
              </w:rPr>
              <w:t>Offered Brand</w:t>
            </w:r>
            <w:r w:rsidR="00A84F0E" w:rsidRPr="009E2B0A">
              <w:rPr>
                <w:rFonts w:cs="Calibri"/>
                <w:b/>
                <w:sz w:val="20"/>
                <w:szCs w:val="20"/>
              </w:rPr>
              <w:t>/</w:t>
            </w:r>
            <w:r w:rsidR="00334435" w:rsidRPr="009E2B0A">
              <w:rPr>
                <w:rFonts w:cs="Calibri"/>
                <w:b/>
                <w:sz w:val="20"/>
                <w:szCs w:val="20"/>
              </w:rPr>
              <w:t xml:space="preserve"> model and source of origin</w:t>
            </w:r>
          </w:p>
        </w:tc>
      </w:tr>
      <w:tr w:rsidR="004E0399" w:rsidRPr="009E2B0A" w:rsidTr="000A24A3">
        <w:trPr>
          <w:cantSplit/>
          <w:trHeight w:val="377"/>
        </w:trPr>
        <w:tc>
          <w:tcPr>
            <w:tcW w:w="204" w:type="pct"/>
            <w:vAlign w:val="center"/>
          </w:tcPr>
          <w:p w:rsidR="004E0399" w:rsidRPr="009E2B0A" w:rsidRDefault="004E0399" w:rsidP="004E0399">
            <w:pPr>
              <w:spacing w:after="0" w:line="240" w:lineRule="auto"/>
              <w:contextualSpacing/>
              <w:jc w:val="center"/>
              <w:rPr>
                <w:rFonts w:cs="Calibri"/>
                <w:sz w:val="20"/>
                <w:szCs w:val="20"/>
              </w:rPr>
            </w:pPr>
            <w:r w:rsidRPr="009E2B0A">
              <w:rPr>
                <w:rFonts w:cs="Calibri"/>
                <w:sz w:val="20"/>
                <w:szCs w:val="20"/>
              </w:rPr>
              <w:t>1</w:t>
            </w:r>
          </w:p>
        </w:tc>
        <w:tc>
          <w:tcPr>
            <w:tcW w:w="2016" w:type="pct"/>
          </w:tcPr>
          <w:p w:rsidR="00AE38D6" w:rsidRPr="00F90F35" w:rsidRDefault="00F90F35" w:rsidP="00AE38D6">
            <w:pPr>
              <w:spacing w:after="0" w:line="240" w:lineRule="auto"/>
              <w:jc w:val="both"/>
              <w:rPr>
                <w:b/>
                <w:bCs/>
                <w:sz w:val="20"/>
                <w:szCs w:val="20"/>
              </w:rPr>
            </w:pPr>
            <w:r w:rsidRPr="00F90F35">
              <w:rPr>
                <w:b/>
                <w:bCs/>
                <w:sz w:val="20"/>
                <w:szCs w:val="20"/>
              </w:rPr>
              <w:t>Double Door Display Case Refrigerator</w:t>
            </w:r>
            <w:r w:rsidR="00AE38D6" w:rsidRPr="00F90F35">
              <w:rPr>
                <w:b/>
                <w:bCs/>
                <w:sz w:val="20"/>
                <w:szCs w:val="20"/>
              </w:rPr>
              <w:t xml:space="preserve"> </w:t>
            </w:r>
          </w:p>
          <w:p w:rsidR="00AE38D6" w:rsidRDefault="00AE38D6" w:rsidP="00AE38D6">
            <w:pPr>
              <w:spacing w:after="0" w:line="240" w:lineRule="auto"/>
              <w:jc w:val="both"/>
              <w:rPr>
                <w:sz w:val="20"/>
                <w:szCs w:val="20"/>
              </w:rPr>
            </w:pPr>
            <w:r w:rsidRPr="00AE38D6">
              <w:rPr>
                <w:sz w:val="20"/>
                <w:szCs w:val="20"/>
              </w:rPr>
              <w:t>Specification:</w:t>
            </w:r>
          </w:p>
          <w:p w:rsidR="000441E1" w:rsidRPr="000441E1" w:rsidRDefault="000441E1" w:rsidP="00B84554">
            <w:pPr>
              <w:pStyle w:val="ListParagraph"/>
              <w:numPr>
                <w:ilvl w:val="0"/>
                <w:numId w:val="21"/>
              </w:numPr>
              <w:spacing w:after="0"/>
              <w:rPr>
                <w:sz w:val="20"/>
                <w:szCs w:val="20"/>
              </w:rPr>
            </w:pPr>
            <w:r w:rsidRPr="000441E1">
              <w:rPr>
                <w:sz w:val="20"/>
                <w:szCs w:val="20"/>
              </w:rPr>
              <w:t>Condition: New</w:t>
            </w:r>
          </w:p>
          <w:p w:rsidR="000441E1" w:rsidRPr="000441E1" w:rsidRDefault="000441E1" w:rsidP="00B84554">
            <w:pPr>
              <w:pStyle w:val="ListParagraph"/>
              <w:numPr>
                <w:ilvl w:val="0"/>
                <w:numId w:val="21"/>
              </w:numPr>
              <w:spacing w:after="0"/>
              <w:rPr>
                <w:sz w:val="20"/>
                <w:szCs w:val="20"/>
              </w:rPr>
            </w:pPr>
            <w:r w:rsidRPr="000441E1">
              <w:rPr>
                <w:sz w:val="20"/>
                <w:szCs w:val="20"/>
              </w:rPr>
              <w:t>Capacity: 750 - 800 Liter</w:t>
            </w:r>
          </w:p>
          <w:p w:rsidR="000441E1" w:rsidRPr="000441E1" w:rsidRDefault="000441E1" w:rsidP="00B84554">
            <w:pPr>
              <w:pStyle w:val="ListParagraph"/>
              <w:numPr>
                <w:ilvl w:val="0"/>
                <w:numId w:val="21"/>
              </w:numPr>
              <w:spacing w:after="0"/>
              <w:rPr>
                <w:sz w:val="20"/>
                <w:szCs w:val="20"/>
              </w:rPr>
            </w:pPr>
            <w:r w:rsidRPr="000441E1">
              <w:rPr>
                <w:sz w:val="20"/>
                <w:szCs w:val="20"/>
              </w:rPr>
              <w:t>Material: Stainless Steel</w:t>
            </w:r>
          </w:p>
          <w:p w:rsidR="000441E1" w:rsidRPr="000441E1" w:rsidRDefault="000441E1" w:rsidP="00B84554">
            <w:pPr>
              <w:pStyle w:val="ListParagraph"/>
              <w:numPr>
                <w:ilvl w:val="0"/>
                <w:numId w:val="21"/>
              </w:numPr>
              <w:spacing w:after="0"/>
              <w:rPr>
                <w:sz w:val="20"/>
                <w:szCs w:val="20"/>
              </w:rPr>
            </w:pPr>
            <w:r w:rsidRPr="000441E1">
              <w:rPr>
                <w:sz w:val="20"/>
                <w:szCs w:val="20"/>
              </w:rPr>
              <w:t>Lighting: LED</w:t>
            </w:r>
          </w:p>
          <w:p w:rsidR="000441E1" w:rsidRPr="000441E1" w:rsidRDefault="000441E1" w:rsidP="00B84554">
            <w:pPr>
              <w:pStyle w:val="ListParagraph"/>
              <w:numPr>
                <w:ilvl w:val="0"/>
                <w:numId w:val="21"/>
              </w:numPr>
              <w:spacing w:after="0"/>
              <w:rPr>
                <w:sz w:val="20"/>
                <w:szCs w:val="20"/>
              </w:rPr>
            </w:pPr>
            <w:r w:rsidRPr="000441E1">
              <w:rPr>
                <w:sz w:val="20"/>
                <w:szCs w:val="20"/>
              </w:rPr>
              <w:t>Front glass: Heated double glazing</w:t>
            </w:r>
          </w:p>
          <w:p w:rsidR="000441E1" w:rsidRPr="000441E1" w:rsidRDefault="000441E1" w:rsidP="00B84554">
            <w:pPr>
              <w:pStyle w:val="ListParagraph"/>
              <w:numPr>
                <w:ilvl w:val="0"/>
                <w:numId w:val="21"/>
              </w:numPr>
              <w:spacing w:after="0"/>
              <w:rPr>
                <w:sz w:val="20"/>
                <w:szCs w:val="20"/>
              </w:rPr>
            </w:pPr>
            <w:r w:rsidRPr="000441E1">
              <w:rPr>
                <w:sz w:val="20"/>
                <w:szCs w:val="20"/>
              </w:rPr>
              <w:t>Shelves: 8 – 12 Shelves</w:t>
            </w:r>
          </w:p>
          <w:p w:rsidR="000441E1" w:rsidRPr="000441E1" w:rsidRDefault="000441E1" w:rsidP="00B84554">
            <w:pPr>
              <w:pStyle w:val="ListParagraph"/>
              <w:numPr>
                <w:ilvl w:val="0"/>
                <w:numId w:val="21"/>
              </w:numPr>
              <w:spacing w:after="0"/>
              <w:rPr>
                <w:sz w:val="20"/>
                <w:szCs w:val="20"/>
              </w:rPr>
            </w:pPr>
            <w:r w:rsidRPr="000441E1">
              <w:rPr>
                <w:sz w:val="20"/>
                <w:szCs w:val="20"/>
              </w:rPr>
              <w:t>Equipment handing: High adjustable feet</w:t>
            </w:r>
          </w:p>
          <w:p w:rsidR="000441E1" w:rsidRPr="000441E1" w:rsidRDefault="000441E1" w:rsidP="00B84554">
            <w:pPr>
              <w:pStyle w:val="ListParagraph"/>
              <w:numPr>
                <w:ilvl w:val="0"/>
                <w:numId w:val="21"/>
              </w:numPr>
              <w:spacing w:after="0"/>
              <w:rPr>
                <w:sz w:val="20"/>
                <w:szCs w:val="20"/>
              </w:rPr>
            </w:pPr>
            <w:r w:rsidRPr="000441E1">
              <w:rPr>
                <w:sz w:val="20"/>
                <w:szCs w:val="20"/>
              </w:rPr>
              <w:t>Doors: 2 Doors</w:t>
            </w:r>
          </w:p>
          <w:p w:rsidR="000441E1" w:rsidRPr="000441E1" w:rsidRDefault="000441E1" w:rsidP="00B84554">
            <w:pPr>
              <w:pStyle w:val="ListParagraph"/>
              <w:numPr>
                <w:ilvl w:val="0"/>
                <w:numId w:val="21"/>
              </w:numPr>
              <w:spacing w:after="0"/>
              <w:rPr>
                <w:sz w:val="20"/>
                <w:szCs w:val="20"/>
              </w:rPr>
            </w:pPr>
            <w:r w:rsidRPr="000441E1">
              <w:rPr>
                <w:sz w:val="20"/>
                <w:szCs w:val="20"/>
              </w:rPr>
              <w:t>Efficiency: High Efficiency</w:t>
            </w:r>
          </w:p>
          <w:p w:rsidR="000441E1" w:rsidRDefault="000441E1" w:rsidP="00B84554">
            <w:pPr>
              <w:pStyle w:val="ListParagraph"/>
              <w:numPr>
                <w:ilvl w:val="0"/>
                <w:numId w:val="21"/>
              </w:numPr>
              <w:spacing w:after="0"/>
              <w:rPr>
                <w:sz w:val="20"/>
                <w:szCs w:val="20"/>
              </w:rPr>
            </w:pPr>
            <w:r w:rsidRPr="000441E1">
              <w:rPr>
                <w:sz w:val="20"/>
                <w:szCs w:val="20"/>
              </w:rPr>
              <w:t>Refrigerator temperature: 1-5 C</w:t>
            </w:r>
          </w:p>
          <w:p w:rsidR="00B84554" w:rsidRPr="00B84554" w:rsidRDefault="00B84554" w:rsidP="00B84554">
            <w:pPr>
              <w:numPr>
                <w:ilvl w:val="0"/>
                <w:numId w:val="21"/>
              </w:numPr>
              <w:spacing w:after="0" w:line="240" w:lineRule="auto"/>
              <w:jc w:val="both"/>
              <w:rPr>
                <w:sz w:val="20"/>
                <w:szCs w:val="20"/>
              </w:rPr>
            </w:pPr>
            <w:r w:rsidRPr="000441E1">
              <w:rPr>
                <w:sz w:val="20"/>
                <w:szCs w:val="20"/>
              </w:rPr>
              <w:t xml:space="preserve">Refrigerant Type R600A, CFC Free </w:t>
            </w:r>
          </w:p>
          <w:p w:rsidR="000441E1" w:rsidRPr="000441E1" w:rsidRDefault="000441E1" w:rsidP="00B84554">
            <w:pPr>
              <w:pStyle w:val="ListParagraph"/>
              <w:numPr>
                <w:ilvl w:val="0"/>
                <w:numId w:val="21"/>
              </w:numPr>
              <w:spacing w:after="0"/>
              <w:rPr>
                <w:sz w:val="20"/>
                <w:szCs w:val="20"/>
              </w:rPr>
            </w:pPr>
            <w:r w:rsidRPr="000441E1">
              <w:rPr>
                <w:sz w:val="20"/>
                <w:szCs w:val="20"/>
              </w:rPr>
              <w:t>Installation Type: free standing</w:t>
            </w:r>
          </w:p>
          <w:p w:rsidR="000441E1" w:rsidRPr="000441E1" w:rsidRDefault="000441E1" w:rsidP="00B84554">
            <w:pPr>
              <w:pStyle w:val="ListParagraph"/>
              <w:numPr>
                <w:ilvl w:val="0"/>
                <w:numId w:val="21"/>
              </w:numPr>
              <w:spacing w:after="0"/>
              <w:rPr>
                <w:sz w:val="20"/>
                <w:szCs w:val="20"/>
              </w:rPr>
            </w:pPr>
            <w:r w:rsidRPr="000441E1">
              <w:rPr>
                <w:sz w:val="20"/>
                <w:szCs w:val="20"/>
              </w:rPr>
              <w:t>system pending in: Fan Cooling</w:t>
            </w:r>
          </w:p>
          <w:p w:rsidR="000441E1" w:rsidRPr="000441E1" w:rsidRDefault="000441E1" w:rsidP="00B84554">
            <w:pPr>
              <w:pStyle w:val="ListParagraph"/>
              <w:numPr>
                <w:ilvl w:val="0"/>
                <w:numId w:val="21"/>
              </w:numPr>
              <w:spacing w:after="0"/>
              <w:rPr>
                <w:sz w:val="20"/>
                <w:szCs w:val="20"/>
              </w:rPr>
            </w:pPr>
            <w:r w:rsidRPr="000441E1">
              <w:rPr>
                <w:sz w:val="20"/>
                <w:szCs w:val="20"/>
              </w:rPr>
              <w:t>Color: Stainless Steel</w:t>
            </w:r>
          </w:p>
          <w:p w:rsidR="000441E1" w:rsidRPr="000441E1" w:rsidRDefault="000441E1" w:rsidP="00B84554">
            <w:pPr>
              <w:pStyle w:val="ListParagraph"/>
              <w:numPr>
                <w:ilvl w:val="0"/>
                <w:numId w:val="21"/>
              </w:numPr>
              <w:spacing w:after="0"/>
              <w:rPr>
                <w:sz w:val="20"/>
                <w:szCs w:val="20"/>
              </w:rPr>
            </w:pPr>
            <w:r w:rsidRPr="000441E1">
              <w:rPr>
                <w:sz w:val="20"/>
                <w:szCs w:val="20"/>
              </w:rPr>
              <w:t>Voltage: 220 Volts</w:t>
            </w:r>
          </w:p>
          <w:p w:rsidR="000441E1" w:rsidRPr="000441E1" w:rsidRDefault="000441E1" w:rsidP="00B84554">
            <w:pPr>
              <w:pStyle w:val="ListParagraph"/>
              <w:numPr>
                <w:ilvl w:val="0"/>
                <w:numId w:val="21"/>
              </w:numPr>
              <w:spacing w:after="0"/>
              <w:rPr>
                <w:sz w:val="20"/>
                <w:szCs w:val="20"/>
              </w:rPr>
            </w:pPr>
            <w:r w:rsidRPr="000441E1">
              <w:rPr>
                <w:sz w:val="20"/>
                <w:szCs w:val="20"/>
              </w:rPr>
              <w:t>Phase: Single phase</w:t>
            </w:r>
          </w:p>
          <w:p w:rsidR="000441E1" w:rsidRPr="000441E1" w:rsidRDefault="000441E1" w:rsidP="00B84554">
            <w:pPr>
              <w:pStyle w:val="ListParagraph"/>
              <w:numPr>
                <w:ilvl w:val="0"/>
                <w:numId w:val="21"/>
              </w:numPr>
              <w:spacing w:after="0"/>
              <w:rPr>
                <w:sz w:val="20"/>
                <w:szCs w:val="20"/>
              </w:rPr>
            </w:pPr>
            <w:r w:rsidRPr="000441E1">
              <w:rPr>
                <w:sz w:val="20"/>
                <w:szCs w:val="20"/>
              </w:rPr>
              <w:t>Defrost: Automatic</w:t>
            </w:r>
          </w:p>
          <w:p w:rsidR="000441E1" w:rsidRPr="000441E1" w:rsidRDefault="000441E1" w:rsidP="00B84554">
            <w:pPr>
              <w:pStyle w:val="ListParagraph"/>
              <w:numPr>
                <w:ilvl w:val="0"/>
                <w:numId w:val="21"/>
              </w:numPr>
              <w:spacing w:after="0"/>
              <w:rPr>
                <w:sz w:val="20"/>
                <w:szCs w:val="20"/>
              </w:rPr>
            </w:pPr>
            <w:r w:rsidRPr="000441E1">
              <w:rPr>
                <w:sz w:val="20"/>
                <w:szCs w:val="20"/>
              </w:rPr>
              <w:t>Door Hinges: Reversible</w:t>
            </w:r>
          </w:p>
          <w:p w:rsidR="000441E1" w:rsidRPr="000441E1" w:rsidRDefault="000441E1" w:rsidP="00B84554">
            <w:pPr>
              <w:pStyle w:val="ListParagraph"/>
              <w:numPr>
                <w:ilvl w:val="0"/>
                <w:numId w:val="21"/>
              </w:numPr>
              <w:spacing w:after="0"/>
              <w:rPr>
                <w:sz w:val="20"/>
                <w:szCs w:val="20"/>
              </w:rPr>
            </w:pPr>
            <w:r w:rsidRPr="000441E1">
              <w:rPr>
                <w:sz w:val="20"/>
                <w:szCs w:val="20"/>
              </w:rPr>
              <w:t>Shelf Type: Wire and Glass</w:t>
            </w:r>
          </w:p>
          <w:p w:rsidR="000441E1" w:rsidRPr="000441E1" w:rsidRDefault="000441E1" w:rsidP="00B84554">
            <w:pPr>
              <w:pStyle w:val="ListParagraph"/>
              <w:numPr>
                <w:ilvl w:val="0"/>
                <w:numId w:val="21"/>
              </w:numPr>
              <w:spacing w:after="0"/>
              <w:rPr>
                <w:sz w:val="20"/>
                <w:szCs w:val="20"/>
              </w:rPr>
            </w:pPr>
            <w:r w:rsidRPr="000441E1">
              <w:rPr>
                <w:sz w:val="20"/>
                <w:szCs w:val="20"/>
              </w:rPr>
              <w:t>Adjustable stainless steel shelves are providing</w:t>
            </w:r>
          </w:p>
          <w:p w:rsidR="000441E1" w:rsidRDefault="000441E1" w:rsidP="00B84554">
            <w:pPr>
              <w:pStyle w:val="ListParagraph"/>
              <w:numPr>
                <w:ilvl w:val="0"/>
                <w:numId w:val="21"/>
              </w:numPr>
              <w:spacing w:after="0"/>
              <w:rPr>
                <w:sz w:val="20"/>
                <w:szCs w:val="20"/>
              </w:rPr>
            </w:pPr>
            <w:r w:rsidRPr="000441E1">
              <w:rPr>
                <w:sz w:val="20"/>
                <w:szCs w:val="20"/>
              </w:rPr>
              <w:t>Independent on/off compressor</w:t>
            </w:r>
            <w:r>
              <w:rPr>
                <w:sz w:val="20"/>
                <w:szCs w:val="20"/>
              </w:rPr>
              <w:t>.</w:t>
            </w:r>
          </w:p>
          <w:p w:rsidR="000441E1" w:rsidRDefault="00A609BE" w:rsidP="000441E1">
            <w:pPr>
              <w:pStyle w:val="ListParagraph"/>
              <w:spacing w:after="0"/>
              <w:rPr>
                <w:sz w:val="20"/>
                <w:szCs w:val="20"/>
              </w:rPr>
            </w:pPr>
            <w:r>
              <w:rPr>
                <w:noProof/>
              </w:rPr>
              <w:drawing>
                <wp:anchor distT="0" distB="0" distL="114300" distR="114300" simplePos="0" relativeHeight="251656704" behindDoc="1" locked="0" layoutInCell="1" allowOverlap="1">
                  <wp:simplePos x="0" y="0"/>
                  <wp:positionH relativeFrom="column">
                    <wp:posOffset>579120</wp:posOffset>
                  </wp:positionH>
                  <wp:positionV relativeFrom="paragraph">
                    <wp:posOffset>56515</wp:posOffset>
                  </wp:positionV>
                  <wp:extent cx="1288415" cy="1534160"/>
                  <wp:effectExtent l="0" t="0" r="0" b="0"/>
                  <wp:wrapTight wrapText="bothSides">
                    <wp:wrapPolygon edited="0">
                      <wp:start x="0" y="0"/>
                      <wp:lineTo x="0" y="21457"/>
                      <wp:lineTo x="21398" y="21457"/>
                      <wp:lineTo x="21398" y="0"/>
                      <wp:lineTo x="0" y="0"/>
                    </wp:wrapPolygon>
                  </wp:wrapTight>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415" cy="153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41E1" w:rsidRDefault="000441E1" w:rsidP="000441E1">
            <w:pPr>
              <w:pStyle w:val="ListParagraph"/>
              <w:spacing w:after="0"/>
              <w:rPr>
                <w:sz w:val="20"/>
                <w:szCs w:val="20"/>
              </w:rPr>
            </w:pPr>
          </w:p>
          <w:p w:rsidR="000441E1" w:rsidRPr="000441E1" w:rsidRDefault="000441E1" w:rsidP="000441E1">
            <w:pPr>
              <w:pStyle w:val="ListParagraph"/>
              <w:spacing w:after="0"/>
              <w:rPr>
                <w:sz w:val="20"/>
                <w:szCs w:val="20"/>
              </w:rPr>
            </w:pPr>
          </w:p>
          <w:p w:rsidR="00AE38D6" w:rsidRDefault="00AE38D6" w:rsidP="00AE38D6">
            <w:pPr>
              <w:spacing w:after="0" w:line="240" w:lineRule="auto"/>
              <w:jc w:val="both"/>
              <w:rPr>
                <w:sz w:val="20"/>
                <w:szCs w:val="20"/>
              </w:rPr>
            </w:pPr>
          </w:p>
          <w:p w:rsidR="0019215C" w:rsidRPr="00F8182C" w:rsidRDefault="0019215C" w:rsidP="00AE38D6">
            <w:pPr>
              <w:spacing w:after="0"/>
              <w:ind w:left="720"/>
            </w:pPr>
          </w:p>
        </w:tc>
        <w:tc>
          <w:tcPr>
            <w:tcW w:w="331" w:type="pct"/>
          </w:tcPr>
          <w:p w:rsidR="004E0399" w:rsidRPr="00F8182C" w:rsidRDefault="004E0399" w:rsidP="004E0399">
            <w:r w:rsidRPr="00F8182C">
              <w:t>Each</w:t>
            </w:r>
          </w:p>
        </w:tc>
        <w:tc>
          <w:tcPr>
            <w:tcW w:w="330" w:type="pct"/>
          </w:tcPr>
          <w:p w:rsidR="004E0399" w:rsidRPr="00F8182C" w:rsidRDefault="00B84554" w:rsidP="004E0399">
            <w:r>
              <w:t>4</w:t>
            </w:r>
          </w:p>
        </w:tc>
        <w:tc>
          <w:tcPr>
            <w:tcW w:w="596" w:type="pct"/>
            <w:vAlign w:val="center"/>
          </w:tcPr>
          <w:p w:rsidR="004E0399" w:rsidRPr="009E2B0A" w:rsidRDefault="004E0399" w:rsidP="004E0399">
            <w:pPr>
              <w:spacing w:after="0" w:line="240" w:lineRule="auto"/>
              <w:contextualSpacing/>
              <w:jc w:val="both"/>
              <w:rPr>
                <w:rFonts w:cs="Calibri"/>
                <w:b/>
                <w:sz w:val="20"/>
                <w:szCs w:val="20"/>
                <w:highlight w:val="yellow"/>
              </w:rPr>
            </w:pPr>
          </w:p>
        </w:tc>
        <w:tc>
          <w:tcPr>
            <w:tcW w:w="633" w:type="pct"/>
            <w:vAlign w:val="center"/>
          </w:tcPr>
          <w:p w:rsidR="004E0399" w:rsidRPr="009E2B0A" w:rsidRDefault="004E0399" w:rsidP="004E0399">
            <w:pPr>
              <w:spacing w:after="0" w:line="240" w:lineRule="auto"/>
              <w:contextualSpacing/>
              <w:jc w:val="both"/>
              <w:rPr>
                <w:rFonts w:cs="Calibri"/>
                <w:b/>
                <w:sz w:val="20"/>
                <w:szCs w:val="20"/>
                <w:highlight w:val="yellow"/>
              </w:rPr>
            </w:pPr>
          </w:p>
        </w:tc>
        <w:tc>
          <w:tcPr>
            <w:tcW w:w="890" w:type="pct"/>
            <w:vAlign w:val="center"/>
          </w:tcPr>
          <w:p w:rsidR="004E0399" w:rsidRPr="009E2B0A" w:rsidRDefault="004E0399" w:rsidP="004E0399">
            <w:pPr>
              <w:spacing w:after="0" w:line="240" w:lineRule="auto"/>
              <w:contextualSpacing/>
              <w:rPr>
                <w:rFonts w:cs="Calibri"/>
                <w:b/>
                <w:sz w:val="20"/>
                <w:szCs w:val="20"/>
                <w:highlight w:val="yellow"/>
              </w:rPr>
            </w:pPr>
          </w:p>
        </w:tc>
      </w:tr>
      <w:tr w:rsidR="004E0399" w:rsidRPr="009E2B0A" w:rsidTr="000A24A3">
        <w:trPr>
          <w:cantSplit/>
          <w:trHeight w:val="377"/>
        </w:trPr>
        <w:tc>
          <w:tcPr>
            <w:tcW w:w="204" w:type="pct"/>
            <w:vAlign w:val="center"/>
          </w:tcPr>
          <w:p w:rsidR="004E0399" w:rsidRPr="009E2B0A" w:rsidRDefault="00514C07" w:rsidP="004E0399">
            <w:pPr>
              <w:spacing w:after="0" w:line="240" w:lineRule="auto"/>
              <w:contextualSpacing/>
              <w:jc w:val="center"/>
              <w:rPr>
                <w:rFonts w:cs="Calibri"/>
                <w:sz w:val="20"/>
                <w:szCs w:val="20"/>
              </w:rPr>
            </w:pPr>
            <w:r>
              <w:rPr>
                <w:rFonts w:cs="Calibri"/>
                <w:sz w:val="20"/>
                <w:szCs w:val="20"/>
              </w:rPr>
              <w:lastRenderedPageBreak/>
              <w:t>2</w:t>
            </w:r>
          </w:p>
        </w:tc>
        <w:tc>
          <w:tcPr>
            <w:tcW w:w="2016" w:type="pct"/>
          </w:tcPr>
          <w:p w:rsidR="00AE38D6" w:rsidRPr="000441E1" w:rsidRDefault="000441E1" w:rsidP="00AE38D6">
            <w:pPr>
              <w:spacing w:after="0"/>
              <w:rPr>
                <w:b/>
                <w:bCs/>
                <w:sz w:val="20"/>
                <w:szCs w:val="20"/>
              </w:rPr>
            </w:pPr>
            <w:r w:rsidRPr="000441E1">
              <w:rPr>
                <w:b/>
                <w:bCs/>
                <w:sz w:val="20"/>
                <w:szCs w:val="20"/>
              </w:rPr>
              <w:t>Double Door Deep Freezers</w:t>
            </w:r>
            <w:r w:rsidR="00AE38D6" w:rsidRPr="000441E1">
              <w:rPr>
                <w:b/>
                <w:bCs/>
                <w:sz w:val="20"/>
                <w:szCs w:val="20"/>
              </w:rPr>
              <w:t>.</w:t>
            </w:r>
          </w:p>
          <w:p w:rsidR="007C762F" w:rsidRDefault="007C762F" w:rsidP="00283D8D">
            <w:pPr>
              <w:spacing w:after="0" w:line="240" w:lineRule="auto"/>
              <w:jc w:val="both"/>
              <w:rPr>
                <w:sz w:val="20"/>
                <w:szCs w:val="20"/>
              </w:rPr>
            </w:pPr>
            <w:r w:rsidRPr="00AE38D6">
              <w:rPr>
                <w:sz w:val="20"/>
                <w:szCs w:val="20"/>
              </w:rPr>
              <w:t>Specification:</w:t>
            </w:r>
          </w:p>
          <w:p w:rsidR="00AE38D6" w:rsidRDefault="00AE38D6" w:rsidP="00AE38D6">
            <w:pPr>
              <w:spacing w:after="0" w:line="240" w:lineRule="auto"/>
              <w:jc w:val="both"/>
              <w:rPr>
                <w:sz w:val="20"/>
                <w:szCs w:val="20"/>
              </w:rPr>
            </w:pPr>
          </w:p>
          <w:p w:rsidR="000441E1" w:rsidRPr="000441E1" w:rsidRDefault="000441E1" w:rsidP="00B84554">
            <w:pPr>
              <w:numPr>
                <w:ilvl w:val="0"/>
                <w:numId w:val="23"/>
              </w:numPr>
              <w:spacing w:after="0" w:line="240" w:lineRule="auto"/>
              <w:jc w:val="both"/>
              <w:rPr>
                <w:sz w:val="20"/>
                <w:szCs w:val="20"/>
              </w:rPr>
            </w:pPr>
            <w:r w:rsidRPr="000441E1">
              <w:rPr>
                <w:sz w:val="20"/>
                <w:szCs w:val="20"/>
              </w:rPr>
              <w:t xml:space="preserve">Condition: New double doors </w:t>
            </w:r>
          </w:p>
          <w:p w:rsidR="000441E1" w:rsidRPr="000441E1" w:rsidRDefault="000441E1" w:rsidP="00B84554">
            <w:pPr>
              <w:numPr>
                <w:ilvl w:val="0"/>
                <w:numId w:val="23"/>
              </w:numPr>
              <w:spacing w:after="0" w:line="240" w:lineRule="auto"/>
              <w:jc w:val="both"/>
              <w:rPr>
                <w:sz w:val="20"/>
                <w:szCs w:val="20"/>
              </w:rPr>
            </w:pPr>
            <w:r w:rsidRPr="000441E1">
              <w:rPr>
                <w:sz w:val="20"/>
                <w:szCs w:val="20"/>
              </w:rPr>
              <w:t>Capacity: 400-450 Kg</w:t>
            </w:r>
          </w:p>
          <w:p w:rsidR="000441E1" w:rsidRPr="000441E1" w:rsidRDefault="000441E1" w:rsidP="00B84554">
            <w:pPr>
              <w:numPr>
                <w:ilvl w:val="0"/>
                <w:numId w:val="23"/>
              </w:numPr>
              <w:spacing w:after="0" w:line="240" w:lineRule="auto"/>
              <w:jc w:val="both"/>
              <w:rPr>
                <w:sz w:val="20"/>
                <w:szCs w:val="20"/>
              </w:rPr>
            </w:pPr>
            <w:r w:rsidRPr="000441E1">
              <w:rPr>
                <w:sz w:val="20"/>
                <w:szCs w:val="20"/>
              </w:rPr>
              <w:t>Type: Direct cooling, Horizontal</w:t>
            </w:r>
          </w:p>
          <w:p w:rsidR="000441E1" w:rsidRPr="000441E1" w:rsidRDefault="000441E1" w:rsidP="00B84554">
            <w:pPr>
              <w:numPr>
                <w:ilvl w:val="0"/>
                <w:numId w:val="23"/>
              </w:numPr>
              <w:spacing w:after="0" w:line="240" w:lineRule="auto"/>
              <w:jc w:val="both"/>
              <w:rPr>
                <w:sz w:val="20"/>
                <w:szCs w:val="20"/>
              </w:rPr>
            </w:pPr>
            <w:r w:rsidRPr="000441E1">
              <w:rPr>
                <w:sz w:val="20"/>
                <w:szCs w:val="20"/>
              </w:rPr>
              <w:t>Style: Constant temperature</w:t>
            </w:r>
            <w:r w:rsidRPr="000441E1" w:rsidDel="001A0310">
              <w:rPr>
                <w:sz w:val="20"/>
                <w:szCs w:val="20"/>
              </w:rPr>
              <w:t xml:space="preserve"> </w:t>
            </w:r>
          </w:p>
          <w:p w:rsidR="000441E1" w:rsidRPr="000441E1" w:rsidRDefault="000441E1" w:rsidP="00B84554">
            <w:pPr>
              <w:numPr>
                <w:ilvl w:val="0"/>
                <w:numId w:val="23"/>
              </w:numPr>
              <w:spacing w:after="0" w:line="240" w:lineRule="auto"/>
              <w:jc w:val="both"/>
              <w:rPr>
                <w:sz w:val="20"/>
                <w:szCs w:val="20"/>
              </w:rPr>
            </w:pPr>
            <w:r w:rsidRPr="000441E1">
              <w:rPr>
                <w:sz w:val="20"/>
                <w:szCs w:val="20"/>
              </w:rPr>
              <w:t xml:space="preserve">Refrigerant Type R600A, CFC Free </w:t>
            </w:r>
          </w:p>
          <w:p w:rsidR="000441E1" w:rsidRPr="000441E1" w:rsidRDefault="000441E1" w:rsidP="00B84554">
            <w:pPr>
              <w:numPr>
                <w:ilvl w:val="0"/>
                <w:numId w:val="23"/>
              </w:numPr>
              <w:spacing w:after="0" w:line="240" w:lineRule="auto"/>
              <w:jc w:val="both"/>
              <w:rPr>
                <w:sz w:val="20"/>
                <w:szCs w:val="20"/>
              </w:rPr>
            </w:pPr>
            <w:r w:rsidRPr="000441E1">
              <w:rPr>
                <w:sz w:val="20"/>
                <w:szCs w:val="20"/>
              </w:rPr>
              <w:t>Material: Aluminum</w:t>
            </w:r>
          </w:p>
          <w:p w:rsidR="000441E1" w:rsidRPr="000441E1" w:rsidRDefault="000441E1" w:rsidP="00B84554">
            <w:pPr>
              <w:numPr>
                <w:ilvl w:val="0"/>
                <w:numId w:val="23"/>
              </w:numPr>
              <w:spacing w:after="0" w:line="240" w:lineRule="auto"/>
              <w:jc w:val="both"/>
              <w:rPr>
                <w:sz w:val="20"/>
                <w:szCs w:val="20"/>
              </w:rPr>
            </w:pPr>
            <w:r w:rsidRPr="000441E1">
              <w:rPr>
                <w:sz w:val="20"/>
                <w:szCs w:val="20"/>
              </w:rPr>
              <w:t>Temperature Range: 1st</w:t>
            </w:r>
            <w:r w:rsidR="00B84554">
              <w:rPr>
                <w:sz w:val="20"/>
                <w:szCs w:val="20"/>
              </w:rPr>
              <w:t xml:space="preserve"> compartment = 0 </w:t>
            </w:r>
            <w:r w:rsidRPr="000441E1">
              <w:rPr>
                <w:sz w:val="20"/>
                <w:szCs w:val="20"/>
              </w:rPr>
              <w:t>to</w:t>
            </w:r>
            <w:r w:rsidR="00B84554">
              <w:rPr>
                <w:sz w:val="20"/>
                <w:szCs w:val="20"/>
              </w:rPr>
              <w:t xml:space="preserve"> </w:t>
            </w:r>
            <w:r w:rsidRPr="000441E1">
              <w:rPr>
                <w:sz w:val="20"/>
                <w:szCs w:val="20"/>
              </w:rPr>
              <w:t xml:space="preserve">10C; 2nd compartment 0 to -18C </w:t>
            </w:r>
          </w:p>
          <w:p w:rsidR="000441E1" w:rsidRPr="000441E1" w:rsidRDefault="000441E1" w:rsidP="00B84554">
            <w:pPr>
              <w:numPr>
                <w:ilvl w:val="0"/>
                <w:numId w:val="23"/>
              </w:numPr>
              <w:spacing w:after="0" w:line="240" w:lineRule="auto"/>
              <w:jc w:val="both"/>
              <w:rPr>
                <w:sz w:val="20"/>
                <w:szCs w:val="20"/>
              </w:rPr>
            </w:pPr>
            <w:r w:rsidRPr="000441E1">
              <w:rPr>
                <w:sz w:val="20"/>
                <w:szCs w:val="20"/>
              </w:rPr>
              <w:t>Power: 220V, 50/60Hz</w:t>
            </w:r>
          </w:p>
          <w:p w:rsidR="000441E1" w:rsidRPr="000441E1" w:rsidRDefault="000441E1" w:rsidP="00B84554">
            <w:pPr>
              <w:numPr>
                <w:ilvl w:val="0"/>
                <w:numId w:val="23"/>
              </w:numPr>
              <w:spacing w:after="0" w:line="240" w:lineRule="auto"/>
              <w:jc w:val="both"/>
              <w:rPr>
                <w:sz w:val="20"/>
                <w:szCs w:val="20"/>
              </w:rPr>
            </w:pPr>
            <w:r w:rsidRPr="000441E1">
              <w:rPr>
                <w:sz w:val="20"/>
                <w:szCs w:val="20"/>
              </w:rPr>
              <w:t>Inside Material: 304 stainless steel</w:t>
            </w:r>
          </w:p>
          <w:p w:rsidR="000441E1" w:rsidRPr="000441E1" w:rsidRDefault="000441E1" w:rsidP="00B84554">
            <w:pPr>
              <w:numPr>
                <w:ilvl w:val="0"/>
                <w:numId w:val="23"/>
              </w:numPr>
              <w:spacing w:after="0" w:line="240" w:lineRule="auto"/>
              <w:jc w:val="both"/>
              <w:rPr>
                <w:sz w:val="20"/>
                <w:szCs w:val="20"/>
              </w:rPr>
            </w:pPr>
            <w:r w:rsidRPr="000441E1">
              <w:rPr>
                <w:sz w:val="20"/>
                <w:szCs w:val="20"/>
              </w:rPr>
              <w:t>Exterior Material: Powder coated steel sheet</w:t>
            </w:r>
          </w:p>
          <w:p w:rsidR="000441E1" w:rsidRPr="000441E1" w:rsidRDefault="000441E1" w:rsidP="00B84554">
            <w:pPr>
              <w:numPr>
                <w:ilvl w:val="0"/>
                <w:numId w:val="23"/>
              </w:numPr>
              <w:spacing w:after="0" w:line="240" w:lineRule="auto"/>
              <w:jc w:val="both"/>
              <w:rPr>
                <w:sz w:val="20"/>
                <w:szCs w:val="20"/>
              </w:rPr>
            </w:pPr>
            <w:r w:rsidRPr="000441E1">
              <w:rPr>
                <w:sz w:val="20"/>
                <w:szCs w:val="20"/>
              </w:rPr>
              <w:t>Refrigeration system: Single-stage</w:t>
            </w:r>
          </w:p>
          <w:p w:rsidR="000441E1" w:rsidRPr="000441E1" w:rsidRDefault="000441E1" w:rsidP="00B84554">
            <w:pPr>
              <w:numPr>
                <w:ilvl w:val="0"/>
                <w:numId w:val="23"/>
              </w:numPr>
              <w:spacing w:after="0" w:line="240" w:lineRule="auto"/>
              <w:jc w:val="both"/>
              <w:rPr>
                <w:sz w:val="20"/>
                <w:szCs w:val="20"/>
              </w:rPr>
            </w:pPr>
            <w:r w:rsidRPr="000441E1">
              <w:rPr>
                <w:sz w:val="20"/>
                <w:szCs w:val="20"/>
              </w:rPr>
              <w:t>Cooling Type: Static</w:t>
            </w:r>
          </w:p>
          <w:p w:rsidR="000441E1" w:rsidRPr="000441E1" w:rsidRDefault="000441E1" w:rsidP="00B84554">
            <w:pPr>
              <w:numPr>
                <w:ilvl w:val="0"/>
                <w:numId w:val="23"/>
              </w:numPr>
              <w:spacing w:after="0" w:line="240" w:lineRule="auto"/>
              <w:jc w:val="both"/>
              <w:rPr>
                <w:sz w:val="20"/>
                <w:szCs w:val="20"/>
              </w:rPr>
            </w:pPr>
            <w:r w:rsidRPr="000441E1">
              <w:rPr>
                <w:sz w:val="20"/>
                <w:szCs w:val="20"/>
              </w:rPr>
              <w:t>Temperature display: Digital</w:t>
            </w:r>
          </w:p>
          <w:p w:rsidR="000441E1" w:rsidRPr="000441E1" w:rsidRDefault="000441E1" w:rsidP="00B84554">
            <w:pPr>
              <w:numPr>
                <w:ilvl w:val="0"/>
                <w:numId w:val="23"/>
              </w:numPr>
              <w:spacing w:after="0" w:line="240" w:lineRule="auto"/>
              <w:jc w:val="both"/>
              <w:rPr>
                <w:sz w:val="20"/>
                <w:szCs w:val="20"/>
              </w:rPr>
            </w:pPr>
            <w:r w:rsidRPr="000441E1">
              <w:rPr>
                <w:sz w:val="20"/>
                <w:szCs w:val="20"/>
              </w:rPr>
              <w:t>Super-Fast Cooling</w:t>
            </w:r>
          </w:p>
          <w:p w:rsidR="00514C07" w:rsidRPr="00AE38D6" w:rsidRDefault="000441E1" w:rsidP="00B84554">
            <w:pPr>
              <w:numPr>
                <w:ilvl w:val="0"/>
                <w:numId w:val="23"/>
              </w:numPr>
              <w:spacing w:after="0" w:line="240" w:lineRule="auto"/>
              <w:jc w:val="both"/>
              <w:rPr>
                <w:sz w:val="20"/>
                <w:szCs w:val="20"/>
              </w:rPr>
            </w:pPr>
            <w:r w:rsidRPr="000441E1">
              <w:rPr>
                <w:sz w:val="20"/>
                <w:szCs w:val="20"/>
              </w:rPr>
              <w:t>Excellent cooling retention in case</w:t>
            </w:r>
          </w:p>
          <w:tbl>
            <w:tblPr>
              <w:tblW w:w="5550" w:type="dxa"/>
              <w:tblLayout w:type="fixed"/>
              <w:tblLook w:val="04A0" w:firstRow="1" w:lastRow="0" w:firstColumn="1" w:lastColumn="0" w:noHBand="0" w:noVBand="1"/>
            </w:tblPr>
            <w:tblGrid>
              <w:gridCol w:w="3636"/>
              <w:gridCol w:w="720"/>
              <w:gridCol w:w="1194"/>
            </w:tblGrid>
            <w:tr w:rsidR="00283D8D" w:rsidRPr="00AE38D6" w:rsidTr="000441E1">
              <w:trPr>
                <w:trHeight w:val="2259"/>
              </w:trPr>
              <w:tc>
                <w:tcPr>
                  <w:tcW w:w="3636" w:type="dxa"/>
                  <w:shd w:val="clear" w:color="auto" w:fill="auto"/>
                </w:tcPr>
                <w:p w:rsidR="00283D8D" w:rsidRPr="007C762F" w:rsidRDefault="00A609BE" w:rsidP="00AE38D6">
                  <w:pPr>
                    <w:spacing w:line="240" w:lineRule="auto"/>
                    <w:ind w:left="720"/>
                    <w:jc w:val="both"/>
                    <w:rPr>
                      <w:sz w:val="20"/>
                      <w:szCs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53975</wp:posOffset>
                        </wp:positionV>
                        <wp:extent cx="1532890" cy="1342390"/>
                        <wp:effectExtent l="0" t="0" r="0" b="0"/>
                        <wp:wrapTight wrapText="bothSides">
                          <wp:wrapPolygon edited="0">
                            <wp:start x="0" y="0"/>
                            <wp:lineTo x="0" y="21150"/>
                            <wp:lineTo x="21206" y="21150"/>
                            <wp:lineTo x="21206" y="0"/>
                            <wp:lineTo x="0" y="0"/>
                          </wp:wrapPolygon>
                        </wp:wrapTight>
                        <wp:docPr id="15" name="Picture 7" descr="prodcut-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rodcut-imag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8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 w:type="dxa"/>
                  <w:shd w:val="clear" w:color="auto" w:fill="auto"/>
                </w:tcPr>
                <w:p w:rsidR="00283D8D" w:rsidRPr="00AE38D6" w:rsidRDefault="00283D8D" w:rsidP="00125F61">
                  <w:pPr>
                    <w:spacing w:line="240" w:lineRule="auto"/>
                    <w:jc w:val="both"/>
                    <w:rPr>
                      <w:sz w:val="20"/>
                      <w:szCs w:val="20"/>
                    </w:rPr>
                  </w:pPr>
                </w:p>
              </w:tc>
              <w:tc>
                <w:tcPr>
                  <w:tcW w:w="1194" w:type="dxa"/>
                  <w:shd w:val="clear" w:color="auto" w:fill="auto"/>
                </w:tcPr>
                <w:p w:rsidR="00283D8D" w:rsidRPr="00AE38D6" w:rsidRDefault="00283D8D" w:rsidP="00125F61">
                  <w:pPr>
                    <w:spacing w:line="240" w:lineRule="auto"/>
                    <w:jc w:val="both"/>
                    <w:rPr>
                      <w:sz w:val="20"/>
                      <w:szCs w:val="20"/>
                    </w:rPr>
                  </w:pPr>
                </w:p>
              </w:tc>
            </w:tr>
          </w:tbl>
          <w:p w:rsidR="00283D8D" w:rsidRPr="00AE38D6" w:rsidRDefault="00283D8D" w:rsidP="00283D8D">
            <w:pPr>
              <w:spacing w:after="0" w:line="240" w:lineRule="auto"/>
              <w:jc w:val="both"/>
              <w:rPr>
                <w:sz w:val="20"/>
                <w:szCs w:val="20"/>
              </w:rPr>
            </w:pPr>
          </w:p>
        </w:tc>
        <w:tc>
          <w:tcPr>
            <w:tcW w:w="331" w:type="pct"/>
          </w:tcPr>
          <w:p w:rsidR="004E0399" w:rsidRPr="00F8182C" w:rsidRDefault="004E0399" w:rsidP="004E0399">
            <w:r w:rsidRPr="00F8182C">
              <w:t>Each</w:t>
            </w:r>
          </w:p>
        </w:tc>
        <w:tc>
          <w:tcPr>
            <w:tcW w:w="330" w:type="pct"/>
          </w:tcPr>
          <w:p w:rsidR="004E0399" w:rsidRPr="00F8182C" w:rsidRDefault="00B84554" w:rsidP="004E0399">
            <w:r>
              <w:t>6</w:t>
            </w:r>
          </w:p>
        </w:tc>
        <w:tc>
          <w:tcPr>
            <w:tcW w:w="596" w:type="pct"/>
            <w:vAlign w:val="center"/>
          </w:tcPr>
          <w:p w:rsidR="004E0399" w:rsidRPr="009E2B0A" w:rsidRDefault="004E0399" w:rsidP="004E0399">
            <w:pPr>
              <w:spacing w:after="0" w:line="240" w:lineRule="auto"/>
              <w:contextualSpacing/>
              <w:jc w:val="both"/>
              <w:rPr>
                <w:rFonts w:cs="Calibri"/>
                <w:b/>
                <w:sz w:val="20"/>
                <w:szCs w:val="20"/>
                <w:highlight w:val="yellow"/>
              </w:rPr>
            </w:pPr>
          </w:p>
        </w:tc>
        <w:tc>
          <w:tcPr>
            <w:tcW w:w="633" w:type="pct"/>
            <w:vAlign w:val="center"/>
          </w:tcPr>
          <w:p w:rsidR="004E0399" w:rsidRPr="009E2B0A" w:rsidRDefault="004E0399" w:rsidP="004E0399">
            <w:pPr>
              <w:spacing w:after="0" w:line="240" w:lineRule="auto"/>
              <w:contextualSpacing/>
              <w:jc w:val="both"/>
              <w:rPr>
                <w:rFonts w:cs="Calibri"/>
                <w:b/>
                <w:sz w:val="20"/>
                <w:szCs w:val="20"/>
                <w:highlight w:val="yellow"/>
              </w:rPr>
            </w:pPr>
          </w:p>
        </w:tc>
        <w:tc>
          <w:tcPr>
            <w:tcW w:w="890" w:type="pct"/>
            <w:vAlign w:val="center"/>
          </w:tcPr>
          <w:p w:rsidR="004E0399" w:rsidRPr="009E2B0A" w:rsidRDefault="004E0399" w:rsidP="004E0399">
            <w:pPr>
              <w:spacing w:after="0" w:line="240" w:lineRule="auto"/>
              <w:contextualSpacing/>
              <w:rPr>
                <w:rFonts w:cs="Calibri"/>
                <w:b/>
                <w:sz w:val="20"/>
                <w:szCs w:val="20"/>
              </w:rPr>
            </w:pPr>
          </w:p>
        </w:tc>
      </w:tr>
      <w:tr w:rsidR="004E0399" w:rsidRPr="009E2B0A" w:rsidTr="000A24A3">
        <w:trPr>
          <w:cantSplit/>
          <w:trHeight w:val="377"/>
        </w:trPr>
        <w:tc>
          <w:tcPr>
            <w:tcW w:w="204" w:type="pct"/>
            <w:vAlign w:val="center"/>
          </w:tcPr>
          <w:p w:rsidR="004E0399" w:rsidRPr="009E2B0A" w:rsidRDefault="00514C07" w:rsidP="004E0399">
            <w:pPr>
              <w:spacing w:after="0" w:line="240" w:lineRule="auto"/>
              <w:contextualSpacing/>
              <w:jc w:val="center"/>
              <w:rPr>
                <w:rFonts w:cs="Calibri"/>
                <w:sz w:val="20"/>
                <w:szCs w:val="20"/>
              </w:rPr>
            </w:pPr>
            <w:r>
              <w:rPr>
                <w:rFonts w:cs="Calibri"/>
                <w:sz w:val="20"/>
                <w:szCs w:val="20"/>
              </w:rPr>
              <w:t>3</w:t>
            </w:r>
          </w:p>
        </w:tc>
        <w:tc>
          <w:tcPr>
            <w:tcW w:w="2016" w:type="pct"/>
          </w:tcPr>
          <w:p w:rsidR="004E0399" w:rsidRPr="000441E1" w:rsidRDefault="000441E1" w:rsidP="00BB272E">
            <w:pPr>
              <w:spacing w:after="0"/>
              <w:rPr>
                <w:b/>
                <w:bCs/>
              </w:rPr>
            </w:pPr>
            <w:r w:rsidRPr="000441E1">
              <w:rPr>
                <w:b/>
                <w:bCs/>
              </w:rPr>
              <w:t>Aluminum Milk Collection Drums</w:t>
            </w:r>
            <w:r w:rsidR="007C762F" w:rsidRPr="000441E1">
              <w:rPr>
                <w:b/>
                <w:bCs/>
              </w:rPr>
              <w:t>.</w:t>
            </w:r>
          </w:p>
          <w:p w:rsidR="00514C07" w:rsidRPr="000441E1" w:rsidRDefault="007C762F" w:rsidP="000441E1">
            <w:pPr>
              <w:spacing w:after="0"/>
            </w:pPr>
            <w:r>
              <w:t>Specification:</w:t>
            </w:r>
          </w:p>
          <w:p w:rsidR="000441E1" w:rsidRPr="000441E1" w:rsidRDefault="000441E1" w:rsidP="000441E1">
            <w:pPr>
              <w:numPr>
                <w:ilvl w:val="0"/>
                <w:numId w:val="22"/>
              </w:numPr>
              <w:spacing w:after="0"/>
            </w:pPr>
            <w:r w:rsidRPr="000441E1">
              <w:t xml:space="preserve">Carrying Handle is fixed to body of drum for easy movement from one place to the other </w:t>
            </w:r>
          </w:p>
          <w:p w:rsidR="000441E1" w:rsidRPr="000441E1" w:rsidRDefault="000441E1" w:rsidP="000441E1">
            <w:pPr>
              <w:numPr>
                <w:ilvl w:val="0"/>
                <w:numId w:val="22"/>
              </w:numPr>
              <w:spacing w:after="0"/>
            </w:pPr>
            <w:r w:rsidRPr="000441E1">
              <w:t>Material: Aluminum</w:t>
            </w:r>
          </w:p>
          <w:p w:rsidR="000441E1" w:rsidRPr="000441E1" w:rsidRDefault="000441E1" w:rsidP="000441E1">
            <w:pPr>
              <w:numPr>
                <w:ilvl w:val="0"/>
                <w:numId w:val="22"/>
              </w:numPr>
              <w:spacing w:after="0"/>
            </w:pPr>
            <w:r w:rsidRPr="000441E1">
              <w:t xml:space="preserve">Usage: Transport of milk, storage     </w:t>
            </w:r>
          </w:p>
          <w:p w:rsidR="000441E1" w:rsidRPr="000441E1" w:rsidRDefault="000441E1" w:rsidP="000441E1">
            <w:pPr>
              <w:numPr>
                <w:ilvl w:val="0"/>
                <w:numId w:val="22"/>
              </w:numPr>
              <w:spacing w:after="0"/>
            </w:pPr>
            <w:r w:rsidRPr="000441E1">
              <w:t xml:space="preserve">Color: Silver        </w:t>
            </w:r>
          </w:p>
          <w:p w:rsidR="000441E1" w:rsidRPr="000441E1" w:rsidRDefault="000441E1" w:rsidP="000441E1">
            <w:pPr>
              <w:numPr>
                <w:ilvl w:val="0"/>
                <w:numId w:val="22"/>
              </w:numPr>
              <w:spacing w:after="0"/>
            </w:pPr>
            <w:r w:rsidRPr="000441E1">
              <w:t xml:space="preserve">Finishing: Polished     </w:t>
            </w:r>
          </w:p>
          <w:p w:rsidR="000441E1" w:rsidRPr="000441E1" w:rsidRDefault="000441E1" w:rsidP="000441E1">
            <w:pPr>
              <w:numPr>
                <w:ilvl w:val="0"/>
                <w:numId w:val="22"/>
              </w:numPr>
              <w:spacing w:after="0"/>
            </w:pPr>
            <w:r w:rsidRPr="000441E1">
              <w:t xml:space="preserve">Pattern: Plain             </w:t>
            </w:r>
          </w:p>
          <w:p w:rsidR="000441E1" w:rsidRPr="000441E1" w:rsidRDefault="000441E1" w:rsidP="000441E1">
            <w:pPr>
              <w:numPr>
                <w:ilvl w:val="0"/>
                <w:numId w:val="22"/>
              </w:numPr>
              <w:spacing w:after="0"/>
            </w:pPr>
            <w:r w:rsidRPr="000441E1">
              <w:t>Feature: Durable</w:t>
            </w:r>
          </w:p>
          <w:p w:rsidR="000441E1" w:rsidRPr="00B84554" w:rsidRDefault="000441E1" w:rsidP="000441E1">
            <w:pPr>
              <w:numPr>
                <w:ilvl w:val="0"/>
                <w:numId w:val="22"/>
              </w:numPr>
              <w:spacing w:after="0"/>
            </w:pPr>
            <w:r w:rsidRPr="000441E1">
              <w:t>Capacity: 50 Liter</w:t>
            </w:r>
            <w:r w:rsidR="00B84554">
              <w:t>.</w:t>
            </w:r>
          </w:p>
          <w:p w:rsidR="00B84554" w:rsidRDefault="00A609BE" w:rsidP="00B84554">
            <w:pPr>
              <w:spacing w:after="0"/>
              <w:ind w:left="720"/>
            </w:pPr>
            <w:r>
              <w:rPr>
                <w:noProof/>
              </w:rPr>
              <w:drawing>
                <wp:anchor distT="0" distB="0" distL="114300" distR="114300" simplePos="0" relativeHeight="251658752" behindDoc="0" locked="0" layoutInCell="1" allowOverlap="1">
                  <wp:simplePos x="0" y="0"/>
                  <wp:positionH relativeFrom="column">
                    <wp:posOffset>227965</wp:posOffset>
                  </wp:positionH>
                  <wp:positionV relativeFrom="paragraph">
                    <wp:posOffset>106680</wp:posOffset>
                  </wp:positionV>
                  <wp:extent cx="1554480" cy="1266825"/>
                  <wp:effectExtent l="0" t="0" r="0" b="0"/>
                  <wp:wrapSquare wrapText="bothSides"/>
                  <wp:docPr id="17" name="Picture 8" descr="C:\Users\jsamim\Desktop\KDC\40-ltr-aluminum-milk-c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jsamim\Desktop\KDC\40-ltr-aluminum-milk-can-.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554" w:rsidRDefault="00B84554" w:rsidP="00B84554">
            <w:pPr>
              <w:spacing w:after="0"/>
              <w:ind w:left="720"/>
            </w:pPr>
          </w:p>
          <w:p w:rsidR="00B84554" w:rsidRPr="000441E1" w:rsidRDefault="00B84554" w:rsidP="00B84554">
            <w:pPr>
              <w:spacing w:after="0"/>
              <w:ind w:left="720"/>
              <w:rPr>
                <w:rFonts w:ascii="Gill Sans MT" w:hAnsi="Gill Sans MT" w:cs="Calibri"/>
              </w:rPr>
            </w:pPr>
          </w:p>
          <w:p w:rsidR="00514C07" w:rsidRPr="00514C07" w:rsidRDefault="00514C07" w:rsidP="00514C07">
            <w:pPr>
              <w:pStyle w:val="ListParagraph"/>
              <w:spacing w:before="100" w:beforeAutospacing="1" w:after="100" w:afterAutospacing="1" w:line="240" w:lineRule="auto"/>
              <w:rPr>
                <w:rFonts w:ascii="Gill Sans MT" w:eastAsia="Microsoft YaHei" w:hAnsi="Gill Sans MT"/>
              </w:rPr>
            </w:pPr>
          </w:p>
          <w:p w:rsidR="00921A50" w:rsidRPr="00921A50" w:rsidRDefault="00514C07" w:rsidP="00514C07">
            <w:pPr>
              <w:pStyle w:val="ListParagraph"/>
              <w:spacing w:before="100" w:beforeAutospacing="1" w:after="100" w:afterAutospacing="1" w:line="240" w:lineRule="auto"/>
              <w:rPr>
                <w:rFonts w:ascii="Gill Sans MT" w:eastAsia="Microsoft YaHei" w:hAnsi="Gill Sans MT"/>
              </w:rPr>
            </w:pPr>
            <w:r w:rsidRPr="00514C07">
              <w:rPr>
                <w:rFonts w:eastAsia="Times New Roman"/>
                <w:sz w:val="20"/>
                <w:lang w:eastAsia="en-GB"/>
              </w:rPr>
              <w:t xml:space="preserve">  </w:t>
            </w:r>
          </w:p>
        </w:tc>
        <w:tc>
          <w:tcPr>
            <w:tcW w:w="331" w:type="pct"/>
          </w:tcPr>
          <w:p w:rsidR="004E0399" w:rsidRPr="00F8182C" w:rsidRDefault="004E0399" w:rsidP="004E0399">
            <w:r w:rsidRPr="00F8182C">
              <w:t>Each</w:t>
            </w:r>
          </w:p>
        </w:tc>
        <w:tc>
          <w:tcPr>
            <w:tcW w:w="330" w:type="pct"/>
          </w:tcPr>
          <w:p w:rsidR="004E0399" w:rsidRDefault="00B84554" w:rsidP="004E0399">
            <w:r>
              <w:t>40</w:t>
            </w:r>
          </w:p>
        </w:tc>
        <w:tc>
          <w:tcPr>
            <w:tcW w:w="596" w:type="pct"/>
            <w:vAlign w:val="center"/>
          </w:tcPr>
          <w:p w:rsidR="004E0399" w:rsidRPr="009E2B0A" w:rsidRDefault="004E0399" w:rsidP="004E0399">
            <w:pPr>
              <w:spacing w:after="0" w:line="240" w:lineRule="auto"/>
              <w:contextualSpacing/>
              <w:jc w:val="both"/>
              <w:rPr>
                <w:rFonts w:cs="Calibri"/>
                <w:b/>
                <w:sz w:val="20"/>
                <w:szCs w:val="20"/>
                <w:highlight w:val="yellow"/>
              </w:rPr>
            </w:pPr>
          </w:p>
        </w:tc>
        <w:tc>
          <w:tcPr>
            <w:tcW w:w="633" w:type="pct"/>
            <w:vAlign w:val="center"/>
          </w:tcPr>
          <w:p w:rsidR="004E0399" w:rsidRPr="009E2B0A" w:rsidRDefault="004E0399" w:rsidP="004E0399">
            <w:pPr>
              <w:spacing w:after="0" w:line="240" w:lineRule="auto"/>
              <w:contextualSpacing/>
              <w:jc w:val="both"/>
              <w:rPr>
                <w:rFonts w:cs="Calibri"/>
                <w:b/>
                <w:sz w:val="20"/>
                <w:szCs w:val="20"/>
              </w:rPr>
            </w:pPr>
          </w:p>
        </w:tc>
        <w:tc>
          <w:tcPr>
            <w:tcW w:w="890" w:type="pct"/>
            <w:vAlign w:val="center"/>
          </w:tcPr>
          <w:p w:rsidR="004E0399" w:rsidRPr="009E2B0A" w:rsidRDefault="004E0399" w:rsidP="004E0399">
            <w:pPr>
              <w:spacing w:after="0" w:line="240" w:lineRule="auto"/>
              <w:contextualSpacing/>
              <w:rPr>
                <w:rFonts w:cs="Calibri"/>
                <w:b/>
                <w:sz w:val="20"/>
                <w:szCs w:val="20"/>
              </w:rPr>
            </w:pPr>
          </w:p>
        </w:tc>
      </w:tr>
      <w:tr w:rsidR="00B16F64" w:rsidRPr="009E2B0A" w:rsidTr="000A24A3">
        <w:trPr>
          <w:cantSplit/>
          <w:trHeight w:val="278"/>
        </w:trPr>
        <w:tc>
          <w:tcPr>
            <w:tcW w:w="3477" w:type="pct"/>
            <w:gridSpan w:val="5"/>
            <w:tcBorders>
              <w:bottom w:val="single" w:sz="4" w:space="0" w:color="auto"/>
            </w:tcBorders>
            <w:vAlign w:val="center"/>
          </w:tcPr>
          <w:p w:rsidR="00B16F64" w:rsidRPr="009E2B0A" w:rsidRDefault="00B16F64" w:rsidP="0085536B">
            <w:pPr>
              <w:spacing w:after="0" w:line="240" w:lineRule="auto"/>
              <w:contextualSpacing/>
              <w:jc w:val="right"/>
              <w:rPr>
                <w:rFonts w:cs="Calibri"/>
                <w:b/>
                <w:sz w:val="20"/>
                <w:szCs w:val="20"/>
                <w:highlight w:val="yellow"/>
              </w:rPr>
            </w:pPr>
            <w:r w:rsidRPr="009E2B0A">
              <w:rPr>
                <w:rFonts w:cs="Calibri"/>
                <w:b/>
                <w:sz w:val="20"/>
                <w:szCs w:val="20"/>
              </w:rPr>
              <w:t>Grand Total</w:t>
            </w:r>
          </w:p>
        </w:tc>
        <w:tc>
          <w:tcPr>
            <w:tcW w:w="633" w:type="pct"/>
            <w:tcBorders>
              <w:bottom w:val="single" w:sz="4" w:space="0" w:color="auto"/>
            </w:tcBorders>
          </w:tcPr>
          <w:p w:rsidR="00B16F64" w:rsidRPr="009E2B0A" w:rsidRDefault="00B16F64" w:rsidP="0085536B">
            <w:pPr>
              <w:spacing w:after="0" w:line="240" w:lineRule="auto"/>
              <w:contextualSpacing/>
              <w:jc w:val="both"/>
              <w:rPr>
                <w:rFonts w:cs="Calibri"/>
                <w:sz w:val="20"/>
                <w:szCs w:val="20"/>
              </w:rPr>
            </w:pPr>
          </w:p>
        </w:tc>
        <w:tc>
          <w:tcPr>
            <w:tcW w:w="890" w:type="pct"/>
            <w:tcBorders>
              <w:bottom w:val="single" w:sz="4" w:space="0" w:color="auto"/>
            </w:tcBorders>
          </w:tcPr>
          <w:p w:rsidR="00B16F64" w:rsidRPr="009E2B0A" w:rsidRDefault="00B16F64" w:rsidP="0085536B">
            <w:pPr>
              <w:spacing w:after="0" w:line="240" w:lineRule="auto"/>
              <w:contextualSpacing/>
              <w:jc w:val="both"/>
              <w:rPr>
                <w:rFonts w:cs="Calibri"/>
                <w:sz w:val="20"/>
                <w:szCs w:val="20"/>
              </w:rPr>
            </w:pPr>
          </w:p>
        </w:tc>
      </w:tr>
      <w:tr w:rsidR="007E0C08" w:rsidRPr="009E2B0A" w:rsidTr="000A24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
        </w:trPr>
        <w:tc>
          <w:tcPr>
            <w:tcW w:w="204" w:type="pct"/>
            <w:tcBorders>
              <w:top w:val="single" w:sz="4" w:space="0" w:color="auto"/>
              <w:left w:val="single" w:sz="4" w:space="0" w:color="auto"/>
              <w:bottom w:val="single" w:sz="4" w:space="0" w:color="auto"/>
              <w:right w:val="single" w:sz="4" w:space="0" w:color="auto"/>
            </w:tcBorders>
            <w:shd w:val="clear" w:color="auto" w:fill="8DB3E2"/>
          </w:tcPr>
          <w:p w:rsidR="007E0C08" w:rsidRPr="009E2B0A" w:rsidRDefault="007E0C08" w:rsidP="005C24A1">
            <w:pPr>
              <w:rPr>
                <w:rFonts w:cs="Calibri"/>
                <w:b/>
                <w:sz w:val="20"/>
                <w:szCs w:val="20"/>
              </w:rPr>
            </w:pPr>
          </w:p>
        </w:tc>
        <w:tc>
          <w:tcPr>
            <w:tcW w:w="4796" w:type="pct"/>
            <w:gridSpan w:val="6"/>
            <w:tcBorders>
              <w:top w:val="single" w:sz="4" w:space="0" w:color="auto"/>
              <w:left w:val="single" w:sz="4" w:space="0" w:color="auto"/>
              <w:bottom w:val="single" w:sz="4" w:space="0" w:color="auto"/>
              <w:right w:val="single" w:sz="4" w:space="0" w:color="auto"/>
            </w:tcBorders>
            <w:shd w:val="clear" w:color="auto" w:fill="8DB3E2"/>
          </w:tcPr>
          <w:p w:rsidR="007E0C08" w:rsidRPr="009E2B0A" w:rsidRDefault="007E0C08" w:rsidP="005C24A1">
            <w:pPr>
              <w:rPr>
                <w:rFonts w:cs="Calibri"/>
                <w:b/>
                <w:sz w:val="20"/>
                <w:szCs w:val="20"/>
              </w:rPr>
            </w:pPr>
            <w:r w:rsidRPr="009E2B0A">
              <w:rPr>
                <w:rFonts w:cs="Calibri"/>
                <w:b/>
                <w:sz w:val="20"/>
                <w:szCs w:val="20"/>
              </w:rPr>
              <w:t>Please mentioned delivery time here:</w:t>
            </w:r>
            <w:r w:rsidR="0062584A">
              <w:rPr>
                <w:rFonts w:cs="Calibri"/>
                <w:b/>
                <w:sz w:val="20"/>
                <w:szCs w:val="20"/>
              </w:rPr>
              <w:t xml:space="preserve"> </w:t>
            </w:r>
          </w:p>
        </w:tc>
      </w:tr>
    </w:tbl>
    <w:p w:rsidR="00843713" w:rsidRPr="00843713" w:rsidRDefault="00843713" w:rsidP="00C9147D">
      <w:pPr>
        <w:pStyle w:val="Default"/>
        <w:spacing w:after="0" w:line="240" w:lineRule="auto"/>
        <w:ind w:right="-180"/>
        <w:rPr>
          <w:rFonts w:cs="Times New Roman"/>
          <w:b/>
          <w:bCs/>
          <w:sz w:val="10"/>
          <w:szCs w:val="10"/>
        </w:rPr>
      </w:pPr>
    </w:p>
    <w:p w:rsidR="00C85A4E" w:rsidRDefault="00C85A4E" w:rsidP="0009344E">
      <w:pPr>
        <w:pStyle w:val="Default"/>
        <w:spacing w:after="0" w:line="240" w:lineRule="auto"/>
        <w:ind w:right="-180"/>
        <w:rPr>
          <w:rFonts w:cs="Times New Roman"/>
          <w:sz w:val="20"/>
          <w:szCs w:val="20"/>
        </w:rPr>
      </w:pPr>
    </w:p>
    <w:p w:rsidR="00243227" w:rsidRDefault="00243227" w:rsidP="000441E1">
      <w:pPr>
        <w:pStyle w:val="Default"/>
        <w:spacing w:after="0" w:line="240" w:lineRule="auto"/>
        <w:ind w:right="-180"/>
        <w:rPr>
          <w:rFonts w:cs="Times New Roman"/>
          <w:sz w:val="20"/>
          <w:szCs w:val="20"/>
        </w:rPr>
      </w:pPr>
    </w:p>
    <w:p w:rsidR="00243227" w:rsidRDefault="00243227" w:rsidP="000441E1">
      <w:pPr>
        <w:pStyle w:val="Default"/>
        <w:spacing w:after="0" w:line="240" w:lineRule="auto"/>
        <w:ind w:right="-180"/>
        <w:rPr>
          <w:rFonts w:cs="Times New Roman"/>
          <w:sz w:val="20"/>
          <w:szCs w:val="20"/>
        </w:rPr>
      </w:pPr>
    </w:p>
    <w:p w:rsidR="00243227" w:rsidRDefault="00243227" w:rsidP="000441E1">
      <w:pPr>
        <w:pStyle w:val="Default"/>
        <w:spacing w:after="0" w:line="240" w:lineRule="auto"/>
        <w:ind w:right="-180"/>
        <w:rPr>
          <w:rFonts w:cs="Times New Roman"/>
          <w:sz w:val="20"/>
          <w:szCs w:val="20"/>
        </w:rPr>
      </w:pPr>
    </w:p>
    <w:p w:rsidR="00225FCE" w:rsidRPr="00AE23FA" w:rsidRDefault="00EC6429" w:rsidP="000441E1">
      <w:pPr>
        <w:pStyle w:val="Default"/>
        <w:spacing w:after="0" w:line="240" w:lineRule="auto"/>
        <w:ind w:right="-180"/>
        <w:rPr>
          <w:rFonts w:cs="Times New Roman"/>
          <w:sz w:val="20"/>
          <w:szCs w:val="20"/>
        </w:rPr>
      </w:pPr>
      <w:r w:rsidRPr="00AE23FA">
        <w:rPr>
          <w:rFonts w:cs="Times New Roman"/>
          <w:sz w:val="20"/>
          <w:szCs w:val="20"/>
        </w:rPr>
        <w:t xml:space="preserve">We, the undersigned, provide the attached </w:t>
      </w:r>
      <w:r w:rsidR="007C4557" w:rsidRPr="00AE23FA">
        <w:rPr>
          <w:rFonts w:cs="Times New Roman"/>
          <w:sz w:val="20"/>
          <w:szCs w:val="20"/>
        </w:rPr>
        <w:t>quote</w:t>
      </w:r>
      <w:r w:rsidR="00EF0879" w:rsidRPr="00AE23FA">
        <w:rPr>
          <w:rFonts w:cs="Times New Roman"/>
          <w:sz w:val="20"/>
          <w:szCs w:val="20"/>
        </w:rPr>
        <w:t xml:space="preserve"> </w:t>
      </w:r>
      <w:r w:rsidRPr="00AE23FA">
        <w:rPr>
          <w:rFonts w:cs="Times New Roman"/>
          <w:sz w:val="20"/>
          <w:szCs w:val="20"/>
        </w:rPr>
        <w:t xml:space="preserve">in accordance </w:t>
      </w:r>
      <w:r w:rsidR="00FE4A2C" w:rsidRPr="00AE23FA">
        <w:rPr>
          <w:b/>
          <w:bCs/>
          <w:sz w:val="20"/>
          <w:szCs w:val="20"/>
        </w:rPr>
        <w:t>RFQ-RADP-E-KBL</w:t>
      </w:r>
      <w:r w:rsidR="00FE4A2C" w:rsidRPr="00AE23FA">
        <w:rPr>
          <w:b/>
          <w:bCs/>
          <w:color w:val="auto"/>
          <w:sz w:val="20"/>
          <w:szCs w:val="20"/>
        </w:rPr>
        <w:t>-</w:t>
      </w:r>
      <w:r w:rsidR="0055439F" w:rsidRPr="00AE23FA">
        <w:rPr>
          <w:b/>
          <w:bCs/>
          <w:color w:val="auto"/>
          <w:sz w:val="20"/>
          <w:szCs w:val="20"/>
        </w:rPr>
        <w:t>20-00</w:t>
      </w:r>
      <w:r w:rsidR="000441E1">
        <w:rPr>
          <w:b/>
          <w:bCs/>
          <w:color w:val="auto"/>
          <w:sz w:val="20"/>
          <w:szCs w:val="20"/>
        </w:rPr>
        <w:t>40</w:t>
      </w:r>
      <w:r w:rsidR="00AE23FA" w:rsidRPr="00AE23FA">
        <w:rPr>
          <w:b/>
          <w:bCs/>
          <w:color w:val="auto"/>
          <w:sz w:val="20"/>
          <w:szCs w:val="20"/>
        </w:rPr>
        <w:t xml:space="preserve"> </w:t>
      </w:r>
      <w:r w:rsidR="007E3CEE">
        <w:rPr>
          <w:sz w:val="20"/>
          <w:szCs w:val="20"/>
        </w:rPr>
        <w:t xml:space="preserve">Provision of </w:t>
      </w:r>
      <w:r w:rsidR="000441E1" w:rsidRPr="00F90F35">
        <w:rPr>
          <w:rFonts w:cs="Times New Roman"/>
          <w:color w:val="auto"/>
          <w:sz w:val="20"/>
          <w:szCs w:val="20"/>
        </w:rPr>
        <w:t xml:space="preserve">Display Case Refrigerator, </w:t>
      </w:r>
      <w:r w:rsidR="000441E1" w:rsidRPr="00F90F35">
        <w:rPr>
          <w:rFonts w:cs="Times New Roman"/>
          <w:sz w:val="20"/>
          <w:szCs w:val="20"/>
        </w:rPr>
        <w:t>Deep Freezers</w:t>
      </w:r>
      <w:r w:rsidR="0094162A">
        <w:rPr>
          <w:rFonts w:cs="Times New Roman"/>
          <w:sz w:val="20"/>
          <w:szCs w:val="20"/>
        </w:rPr>
        <w:t xml:space="preserve"> and</w:t>
      </w:r>
      <w:r w:rsidR="000441E1" w:rsidRPr="00F90F35">
        <w:rPr>
          <w:rFonts w:cs="Times New Roman"/>
          <w:sz w:val="20"/>
          <w:szCs w:val="20"/>
        </w:rPr>
        <w:t xml:space="preserve"> Aluminum </w:t>
      </w:r>
      <w:r w:rsidR="000441E1" w:rsidRPr="00F90F35">
        <w:rPr>
          <w:rFonts w:cs="Times New Roman"/>
          <w:color w:val="auto"/>
          <w:sz w:val="20"/>
          <w:szCs w:val="20"/>
        </w:rPr>
        <w:t>Milk Collection Drums</w:t>
      </w:r>
      <w:r w:rsidR="00440516" w:rsidRPr="00AE23FA">
        <w:rPr>
          <w:rFonts w:cs="Times New Roman"/>
          <w:sz w:val="20"/>
          <w:szCs w:val="20"/>
        </w:rPr>
        <w:t>,</w:t>
      </w:r>
      <w:r w:rsidR="00DC24DB" w:rsidRPr="00AE23FA">
        <w:rPr>
          <w:rFonts w:cs="Times New Roman"/>
          <w:sz w:val="20"/>
          <w:szCs w:val="20"/>
        </w:rPr>
        <w:t xml:space="preserve"> </w:t>
      </w:r>
      <w:r w:rsidR="00243227">
        <w:rPr>
          <w:rFonts w:cs="Times New Roman"/>
          <w:b/>
          <w:bCs/>
          <w:sz w:val="20"/>
          <w:szCs w:val="20"/>
        </w:rPr>
        <w:t>October 14</w:t>
      </w:r>
      <w:r w:rsidR="00380FC4" w:rsidRPr="00AE23FA">
        <w:rPr>
          <w:rFonts w:cs="Times New Roman"/>
          <w:b/>
          <w:bCs/>
          <w:sz w:val="20"/>
          <w:szCs w:val="20"/>
        </w:rPr>
        <w:t>, 2020</w:t>
      </w:r>
      <w:r w:rsidR="00F67460" w:rsidRPr="00AE23FA">
        <w:rPr>
          <w:rFonts w:cs="Times New Roman"/>
          <w:sz w:val="20"/>
          <w:szCs w:val="20"/>
        </w:rPr>
        <w:t xml:space="preserve">. </w:t>
      </w:r>
      <w:r w:rsidRPr="00AE23FA">
        <w:rPr>
          <w:rFonts w:cs="Times New Roman"/>
          <w:sz w:val="20"/>
          <w:szCs w:val="20"/>
        </w:rPr>
        <w:t xml:space="preserve">Our attached </w:t>
      </w:r>
      <w:r w:rsidR="007C4557" w:rsidRPr="00AE23FA">
        <w:rPr>
          <w:rFonts w:cs="Times New Roman"/>
          <w:sz w:val="20"/>
          <w:szCs w:val="20"/>
        </w:rPr>
        <w:t>quote</w:t>
      </w:r>
      <w:r w:rsidR="00EF0879" w:rsidRPr="00AE23FA">
        <w:rPr>
          <w:rFonts w:cs="Times New Roman"/>
          <w:sz w:val="20"/>
          <w:szCs w:val="20"/>
        </w:rPr>
        <w:t xml:space="preserve"> </w:t>
      </w:r>
      <w:r w:rsidRPr="00AE23FA">
        <w:rPr>
          <w:rFonts w:cs="Times New Roman"/>
          <w:sz w:val="20"/>
          <w:szCs w:val="20"/>
        </w:rPr>
        <w:t>is for the total price of _____________________ (figure and in words)</w:t>
      </w:r>
      <w:r w:rsidR="00F67460" w:rsidRPr="00AE23FA">
        <w:rPr>
          <w:rFonts w:cs="Times New Roman"/>
          <w:sz w:val="20"/>
          <w:szCs w:val="20"/>
        </w:rPr>
        <w:t>.  We confirm that unit pricing is inclusive of all costs for final delivery to</w:t>
      </w:r>
      <w:r w:rsidR="0025626F" w:rsidRPr="00AE23FA">
        <w:rPr>
          <w:rFonts w:cs="Times New Roman"/>
          <w:sz w:val="20"/>
          <w:szCs w:val="20"/>
        </w:rPr>
        <w:t xml:space="preserve"> RADP-East</w:t>
      </w:r>
      <w:r w:rsidR="00F67460" w:rsidRPr="00AE23FA">
        <w:rPr>
          <w:rFonts w:cs="Times New Roman"/>
          <w:sz w:val="20"/>
          <w:szCs w:val="20"/>
        </w:rPr>
        <w:t>.</w:t>
      </w:r>
    </w:p>
    <w:p w:rsidR="00332BDC" w:rsidRPr="00AE23FA" w:rsidRDefault="00332BDC" w:rsidP="000B1E46">
      <w:pPr>
        <w:pStyle w:val="Default"/>
        <w:spacing w:after="0" w:line="240" w:lineRule="auto"/>
        <w:ind w:left="720"/>
        <w:rPr>
          <w:rFonts w:cs="Times New Roman"/>
          <w:sz w:val="14"/>
          <w:szCs w:val="14"/>
        </w:rPr>
      </w:pPr>
    </w:p>
    <w:p w:rsidR="00EC6429" w:rsidRPr="00AE23FA" w:rsidRDefault="00EC6429" w:rsidP="000E7550">
      <w:pPr>
        <w:pStyle w:val="Default"/>
        <w:spacing w:after="0" w:line="240" w:lineRule="auto"/>
        <w:rPr>
          <w:rFonts w:cs="Times New Roman"/>
          <w:sz w:val="20"/>
          <w:szCs w:val="20"/>
        </w:rPr>
      </w:pPr>
      <w:r w:rsidRPr="00AE23FA">
        <w:rPr>
          <w:rFonts w:cs="Times New Roman"/>
          <w:sz w:val="20"/>
          <w:szCs w:val="20"/>
        </w:rPr>
        <w:t xml:space="preserve">I certify a validity period of </w:t>
      </w:r>
      <w:r w:rsidR="000E7550">
        <w:rPr>
          <w:rFonts w:cs="Times New Roman"/>
          <w:sz w:val="20"/>
          <w:szCs w:val="20"/>
        </w:rPr>
        <w:t>one-hundred and twenty (12</w:t>
      </w:r>
      <w:r w:rsidR="00F67460" w:rsidRPr="00AE23FA">
        <w:rPr>
          <w:rFonts w:cs="Times New Roman"/>
          <w:sz w:val="20"/>
          <w:szCs w:val="20"/>
        </w:rPr>
        <w:t xml:space="preserve">0) </w:t>
      </w:r>
      <w:r w:rsidRPr="00AE23FA">
        <w:rPr>
          <w:rFonts w:cs="Times New Roman"/>
          <w:sz w:val="20"/>
          <w:szCs w:val="20"/>
        </w:rPr>
        <w:t xml:space="preserve">days for the prices provided in the attached Price Schedule/Bill of Quantities. Our </w:t>
      </w:r>
      <w:r w:rsidR="007C4557" w:rsidRPr="00AE23FA">
        <w:rPr>
          <w:rFonts w:cs="Times New Roman"/>
          <w:sz w:val="20"/>
          <w:szCs w:val="20"/>
        </w:rPr>
        <w:t>quote</w:t>
      </w:r>
      <w:r w:rsidR="00EF0879" w:rsidRPr="00AE23FA">
        <w:rPr>
          <w:rFonts w:cs="Times New Roman"/>
          <w:sz w:val="20"/>
          <w:szCs w:val="20"/>
        </w:rPr>
        <w:t xml:space="preserve"> </w:t>
      </w:r>
      <w:r w:rsidRPr="00AE23FA">
        <w:rPr>
          <w:rFonts w:cs="Times New Roman"/>
          <w:sz w:val="20"/>
          <w:szCs w:val="20"/>
        </w:rPr>
        <w:t>shall be binding upon us subject to the modifications</w:t>
      </w:r>
      <w:r w:rsidR="00993893" w:rsidRPr="00AE23FA">
        <w:rPr>
          <w:rFonts w:cs="Times New Roman"/>
          <w:sz w:val="20"/>
          <w:szCs w:val="20"/>
        </w:rPr>
        <w:t>.</w:t>
      </w:r>
    </w:p>
    <w:p w:rsidR="00332BDC" w:rsidRPr="00AE23FA" w:rsidRDefault="00332BDC" w:rsidP="00EC6429">
      <w:pPr>
        <w:pStyle w:val="Default"/>
        <w:spacing w:after="0" w:line="240" w:lineRule="auto"/>
        <w:ind w:left="720"/>
        <w:rPr>
          <w:rFonts w:cs="Times New Roman"/>
          <w:sz w:val="20"/>
          <w:szCs w:val="20"/>
        </w:rPr>
      </w:pPr>
    </w:p>
    <w:p w:rsidR="00EC6429" w:rsidRDefault="00EC6429" w:rsidP="00C9147D">
      <w:pPr>
        <w:pStyle w:val="Default"/>
        <w:spacing w:after="0" w:line="240" w:lineRule="auto"/>
        <w:rPr>
          <w:rFonts w:cs="Times New Roman"/>
          <w:sz w:val="20"/>
          <w:szCs w:val="20"/>
        </w:rPr>
      </w:pPr>
      <w:r w:rsidRPr="00AE23FA">
        <w:rPr>
          <w:rFonts w:cs="Times New Roman"/>
          <w:sz w:val="20"/>
          <w:szCs w:val="20"/>
        </w:rPr>
        <w:t xml:space="preserve">We understand that DAI is not bound to accept any </w:t>
      </w:r>
      <w:r w:rsidR="007C4557" w:rsidRPr="00AE23FA">
        <w:rPr>
          <w:rFonts w:cs="Times New Roman"/>
          <w:sz w:val="20"/>
          <w:szCs w:val="20"/>
        </w:rPr>
        <w:t>quote</w:t>
      </w:r>
      <w:r w:rsidR="00EF0879" w:rsidRPr="00AE23FA">
        <w:rPr>
          <w:rFonts w:cs="Times New Roman"/>
          <w:sz w:val="20"/>
          <w:szCs w:val="20"/>
        </w:rPr>
        <w:t xml:space="preserve">s </w:t>
      </w:r>
      <w:r w:rsidRPr="00AE23FA">
        <w:rPr>
          <w:rFonts w:cs="Times New Roman"/>
          <w:sz w:val="20"/>
          <w:szCs w:val="20"/>
        </w:rPr>
        <w:t>it receives.</w:t>
      </w:r>
      <w:r w:rsidRPr="003F06CA">
        <w:rPr>
          <w:rFonts w:cs="Times New Roman"/>
          <w:sz w:val="20"/>
          <w:szCs w:val="20"/>
        </w:rPr>
        <w:t xml:space="preserve"> </w:t>
      </w:r>
    </w:p>
    <w:p w:rsidR="00243227" w:rsidRDefault="00243227" w:rsidP="00C9147D">
      <w:pPr>
        <w:pStyle w:val="Default"/>
        <w:spacing w:after="0" w:line="240" w:lineRule="auto"/>
        <w:rPr>
          <w:rFonts w:cs="Times New Roman"/>
          <w:sz w:val="20"/>
          <w:szCs w:val="20"/>
        </w:rPr>
      </w:pPr>
    </w:p>
    <w:p w:rsidR="00243227" w:rsidRDefault="00243227" w:rsidP="00C9147D">
      <w:pPr>
        <w:pStyle w:val="Default"/>
        <w:spacing w:after="0" w:line="240" w:lineRule="auto"/>
        <w:rPr>
          <w:rFonts w:cs="Times New Roman"/>
          <w:sz w:val="20"/>
          <w:szCs w:val="20"/>
        </w:rPr>
      </w:pPr>
    </w:p>
    <w:p w:rsidR="00243227" w:rsidRDefault="00243227" w:rsidP="00C9147D">
      <w:pPr>
        <w:pStyle w:val="Default"/>
        <w:spacing w:after="0" w:line="240" w:lineRule="auto"/>
        <w:rPr>
          <w:rFonts w:cs="Times New Roman"/>
          <w:sz w:val="20"/>
          <w:szCs w:val="20"/>
        </w:rPr>
      </w:pPr>
    </w:p>
    <w:p w:rsidR="00EC6429" w:rsidRPr="00760CA1" w:rsidRDefault="00EC6429" w:rsidP="00EC6429">
      <w:pPr>
        <w:pStyle w:val="Default"/>
        <w:spacing w:after="0" w:line="240" w:lineRule="auto"/>
        <w:rPr>
          <w:rFonts w:cs="Times New Roman"/>
          <w:sz w:val="14"/>
          <w:szCs w:val="14"/>
        </w:rPr>
      </w:pPr>
    </w:p>
    <w:p w:rsidR="00EC6429" w:rsidRPr="003F06CA" w:rsidRDefault="00EC6429" w:rsidP="00EC6429">
      <w:pPr>
        <w:pStyle w:val="Default"/>
        <w:spacing w:after="0" w:line="240" w:lineRule="auto"/>
        <w:ind w:left="720"/>
        <w:rPr>
          <w:rFonts w:cs="Times New Roman"/>
          <w:sz w:val="20"/>
          <w:szCs w:val="20"/>
        </w:rPr>
      </w:pPr>
      <w:r w:rsidRPr="003F06CA">
        <w:rPr>
          <w:rFonts w:cs="Times New Roman"/>
          <w:sz w:val="20"/>
          <w:szCs w:val="20"/>
        </w:rPr>
        <w:t xml:space="preserve">Authorized Signature: </w:t>
      </w:r>
    </w:p>
    <w:p w:rsidR="00EC6429" w:rsidRPr="003F06CA" w:rsidRDefault="00EC6429" w:rsidP="00EC6429">
      <w:pPr>
        <w:pStyle w:val="Default"/>
        <w:spacing w:after="0" w:line="240" w:lineRule="auto"/>
        <w:ind w:left="720"/>
        <w:rPr>
          <w:rFonts w:cs="Times New Roman"/>
          <w:sz w:val="20"/>
          <w:szCs w:val="20"/>
        </w:rPr>
      </w:pPr>
      <w:r w:rsidRPr="003F06CA">
        <w:rPr>
          <w:rFonts w:cs="Times New Roman"/>
          <w:sz w:val="20"/>
          <w:szCs w:val="20"/>
        </w:rPr>
        <w:t xml:space="preserve">Name and Title of Signatory: </w:t>
      </w:r>
    </w:p>
    <w:p w:rsidR="00EC6429" w:rsidRPr="003F06CA" w:rsidRDefault="00EC6429" w:rsidP="00EC6429">
      <w:pPr>
        <w:pStyle w:val="Default"/>
        <w:spacing w:after="0" w:line="240" w:lineRule="auto"/>
        <w:ind w:left="720"/>
        <w:rPr>
          <w:rFonts w:cs="Times New Roman"/>
          <w:sz w:val="20"/>
          <w:szCs w:val="20"/>
        </w:rPr>
      </w:pPr>
      <w:r w:rsidRPr="003F06CA">
        <w:rPr>
          <w:rFonts w:cs="Times New Roman"/>
          <w:sz w:val="20"/>
          <w:szCs w:val="20"/>
        </w:rPr>
        <w:t xml:space="preserve">Name of Firm: </w:t>
      </w:r>
    </w:p>
    <w:p w:rsidR="00EC6429" w:rsidRPr="003F06CA" w:rsidRDefault="00EC6429" w:rsidP="00EC6429">
      <w:pPr>
        <w:pStyle w:val="Default"/>
        <w:spacing w:after="0" w:line="240" w:lineRule="auto"/>
        <w:ind w:left="720"/>
        <w:rPr>
          <w:rFonts w:cs="Times New Roman"/>
          <w:sz w:val="20"/>
          <w:szCs w:val="20"/>
        </w:rPr>
      </w:pPr>
      <w:r w:rsidRPr="003F06CA">
        <w:rPr>
          <w:rFonts w:cs="Times New Roman"/>
          <w:sz w:val="20"/>
          <w:szCs w:val="20"/>
        </w:rPr>
        <w:t xml:space="preserve">Address: </w:t>
      </w:r>
      <w:r w:rsidR="003E688D" w:rsidRPr="003F06CA">
        <w:rPr>
          <w:rFonts w:cs="Times New Roman"/>
          <w:sz w:val="20"/>
          <w:szCs w:val="20"/>
        </w:rPr>
        <w:t xml:space="preserve"> </w:t>
      </w:r>
      <w:bookmarkStart w:id="1" w:name="_GoBack"/>
      <w:bookmarkEnd w:id="1"/>
    </w:p>
    <w:p w:rsidR="00760CA1" w:rsidRDefault="00EC6429" w:rsidP="00760CA1">
      <w:pPr>
        <w:pStyle w:val="Default"/>
        <w:spacing w:after="0" w:line="240" w:lineRule="auto"/>
        <w:ind w:left="720"/>
        <w:rPr>
          <w:rFonts w:cs="Times New Roman"/>
          <w:sz w:val="20"/>
          <w:szCs w:val="20"/>
        </w:rPr>
      </w:pPr>
      <w:r w:rsidRPr="003F06CA">
        <w:rPr>
          <w:rFonts w:cs="Times New Roman"/>
          <w:sz w:val="20"/>
          <w:szCs w:val="20"/>
        </w:rPr>
        <w:t xml:space="preserve">Telephone: </w:t>
      </w:r>
    </w:p>
    <w:p w:rsidR="00760CA1" w:rsidRPr="00760CA1" w:rsidRDefault="00760CA1" w:rsidP="00760CA1">
      <w:pPr>
        <w:pStyle w:val="Default"/>
        <w:spacing w:after="0" w:line="240" w:lineRule="auto"/>
        <w:ind w:left="720"/>
        <w:rPr>
          <w:rFonts w:cs="Times New Roman"/>
          <w:sz w:val="20"/>
          <w:szCs w:val="20"/>
        </w:rPr>
      </w:pPr>
      <w:r w:rsidRPr="003F06CA">
        <w:rPr>
          <w:rFonts w:cs="Times New Roman"/>
          <w:sz w:val="20"/>
          <w:szCs w:val="20"/>
        </w:rPr>
        <w:t xml:space="preserve">Email: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3F06CA">
        <w:rPr>
          <w:sz w:val="20"/>
          <w:szCs w:val="20"/>
        </w:rPr>
        <w:t>Company Seal/Stamp</w:t>
      </w:r>
      <w:r w:rsidRPr="009545BD">
        <w:rPr>
          <w:sz w:val="20"/>
          <w:szCs w:val="20"/>
        </w:rPr>
        <w:t>:</w:t>
      </w:r>
    </w:p>
    <w:p w:rsidR="00185BF6" w:rsidRDefault="00185BF6" w:rsidP="0019024E">
      <w:pPr>
        <w:pStyle w:val="Heading2"/>
        <w:numPr>
          <w:ilvl w:val="0"/>
          <w:numId w:val="0"/>
        </w:numPr>
        <w:ind w:left="360"/>
        <w:rPr>
          <w:i w:val="0"/>
          <w:iCs/>
        </w:rPr>
      </w:pPr>
    </w:p>
    <w:p w:rsidR="004E0399" w:rsidRDefault="004E0399" w:rsidP="004E0399"/>
    <w:p w:rsidR="004E0399" w:rsidRDefault="004E0399" w:rsidP="00DF2A93">
      <w:pPr>
        <w:spacing w:after="0"/>
      </w:pPr>
    </w:p>
    <w:p w:rsidR="004E0399" w:rsidRDefault="004E0399" w:rsidP="00DF2A93">
      <w:pPr>
        <w:spacing w:after="0"/>
      </w:pPr>
    </w:p>
    <w:p w:rsidR="004E0399" w:rsidRDefault="004E0399" w:rsidP="00DF2A93">
      <w:pPr>
        <w:spacing w:after="0"/>
      </w:pPr>
    </w:p>
    <w:p w:rsidR="004E0399" w:rsidRPr="004E0399" w:rsidRDefault="004E0399" w:rsidP="004E0399">
      <w:pPr>
        <w:spacing w:after="160" w:line="259" w:lineRule="auto"/>
        <w:rPr>
          <w:rFonts w:ascii="Gill Sans MT" w:hAnsi="Gill Sans MT" w:cs="Calibri Light"/>
          <w:color w:val="000000"/>
        </w:rPr>
      </w:pPr>
    </w:p>
    <w:p w:rsidR="004E0399" w:rsidRPr="004E0399" w:rsidRDefault="004E0399" w:rsidP="004E0399">
      <w:pPr>
        <w:spacing w:after="160" w:line="259" w:lineRule="auto"/>
        <w:rPr>
          <w:rFonts w:ascii="Gill Sans MT" w:hAnsi="Gill Sans MT" w:cs="Calibri Light"/>
          <w:color w:val="000000"/>
        </w:rPr>
      </w:pPr>
    </w:p>
    <w:p w:rsidR="004E0399" w:rsidRDefault="004E0399" w:rsidP="004E0399"/>
    <w:p w:rsidR="004E0399" w:rsidRPr="004E0399" w:rsidRDefault="004E0399" w:rsidP="004E0399">
      <w:pPr>
        <w:sectPr w:rsidR="004E0399" w:rsidRPr="004E0399" w:rsidSect="00785AF2">
          <w:headerReference w:type="default" r:id="rId16"/>
          <w:pgSz w:w="11906" w:h="16838" w:code="9"/>
          <w:pgMar w:top="630" w:right="1440" w:bottom="990" w:left="1440" w:header="450" w:footer="720" w:gutter="0"/>
          <w:cols w:space="720"/>
          <w:docGrid w:linePitch="360"/>
        </w:sectPr>
      </w:pPr>
    </w:p>
    <w:p w:rsidR="00185BF6" w:rsidRPr="00620243" w:rsidRDefault="00185BF6" w:rsidP="00620243">
      <w:pPr>
        <w:keepNext/>
        <w:keepLines/>
        <w:spacing w:after="0" w:line="240" w:lineRule="auto"/>
        <w:ind w:left="-810"/>
        <w:outlineLvl w:val="1"/>
        <w:rPr>
          <w:rFonts w:eastAsia="Times New Roman" w:cs="Calibri"/>
          <w:b/>
          <w:bCs/>
          <w:iCs/>
          <w:color w:val="4F81BD"/>
          <w:szCs w:val="26"/>
          <w:lang w:eastAsia="x-none"/>
        </w:rPr>
      </w:pPr>
      <w:r w:rsidRPr="00620243">
        <w:rPr>
          <w:rFonts w:eastAsia="Times New Roman" w:cs="Calibri"/>
          <w:b/>
          <w:bCs/>
          <w:iCs/>
          <w:color w:val="4F81BD"/>
          <w:szCs w:val="26"/>
          <w:lang w:val="x-none" w:eastAsia="x-none"/>
        </w:rPr>
        <w:lastRenderedPageBreak/>
        <w:t xml:space="preserve">Attachment </w:t>
      </w:r>
      <w:r w:rsidRPr="00620243">
        <w:rPr>
          <w:rFonts w:eastAsia="Times New Roman" w:cs="Calibri"/>
          <w:b/>
          <w:bCs/>
          <w:iCs/>
          <w:color w:val="4F81BD"/>
          <w:szCs w:val="26"/>
          <w:lang w:eastAsia="x-none"/>
        </w:rPr>
        <w:t>B</w:t>
      </w:r>
      <w:r w:rsidRPr="00620243">
        <w:rPr>
          <w:rFonts w:eastAsia="Times New Roman" w:cs="Calibri"/>
          <w:b/>
          <w:bCs/>
          <w:iCs/>
          <w:color w:val="4F81BD"/>
          <w:szCs w:val="26"/>
          <w:lang w:val="x-none" w:eastAsia="x-none"/>
        </w:rPr>
        <w:t xml:space="preserve">: </w:t>
      </w:r>
      <w:r w:rsidRPr="00620243">
        <w:rPr>
          <w:rFonts w:eastAsia="Times New Roman" w:cs="Calibri"/>
          <w:b/>
          <w:bCs/>
          <w:iCs/>
          <w:color w:val="4F81BD"/>
          <w:szCs w:val="26"/>
          <w:lang w:eastAsia="x-none"/>
        </w:rPr>
        <w:t>Past Performance Chart</w:t>
      </w:r>
    </w:p>
    <w:p w:rsidR="00185BF6" w:rsidRPr="002853E2" w:rsidRDefault="00185BF6" w:rsidP="00620243">
      <w:pPr>
        <w:spacing w:after="0" w:line="240" w:lineRule="auto"/>
        <w:ind w:left="-810"/>
        <w:rPr>
          <w:lang w:eastAsia="x-none"/>
        </w:rPr>
      </w:pPr>
    </w:p>
    <w:p w:rsidR="00185BF6" w:rsidRPr="009F6F3A" w:rsidRDefault="00185BF6" w:rsidP="00620243">
      <w:pPr>
        <w:spacing w:after="0" w:line="240" w:lineRule="auto"/>
        <w:ind w:left="-810"/>
        <w:rPr>
          <w:sz w:val="20"/>
          <w:szCs w:val="20"/>
        </w:rPr>
      </w:pPr>
      <w:r w:rsidRPr="009F6F3A">
        <w:rPr>
          <w:sz w:val="20"/>
          <w:szCs w:val="20"/>
        </w:rPr>
        <w:t xml:space="preserve">Include projects that best illustrate your experience providing </w:t>
      </w:r>
      <w:r w:rsidR="00CD3B76">
        <w:rPr>
          <w:sz w:val="20"/>
          <w:szCs w:val="20"/>
        </w:rPr>
        <w:t>similar</w:t>
      </w:r>
      <w:r w:rsidR="00CD3B76" w:rsidRPr="009F6F3A">
        <w:rPr>
          <w:sz w:val="20"/>
          <w:szCs w:val="20"/>
        </w:rPr>
        <w:t xml:space="preserve"> </w:t>
      </w:r>
      <w:r w:rsidRPr="009F6F3A">
        <w:rPr>
          <w:sz w:val="20"/>
          <w:szCs w:val="20"/>
        </w:rPr>
        <w:t>services in or outside of Kabul for international NGOs or contractors. Projects should have been undertaken in the past three</w:t>
      </w:r>
      <w:r w:rsidR="00CD3B76">
        <w:rPr>
          <w:sz w:val="20"/>
          <w:szCs w:val="20"/>
        </w:rPr>
        <w:t xml:space="preserve"> to five</w:t>
      </w:r>
      <w:r w:rsidRPr="009F6F3A">
        <w:rPr>
          <w:sz w:val="20"/>
          <w:szCs w:val="20"/>
        </w:rPr>
        <w:t xml:space="preserve"> years. </w:t>
      </w:r>
    </w:p>
    <w:p w:rsidR="00185BF6" w:rsidRPr="009F6F3A" w:rsidRDefault="00185BF6" w:rsidP="00185BF6">
      <w:pPr>
        <w:spacing w:after="0" w:line="240" w:lineRule="auto"/>
        <w:rPr>
          <w:sz w:val="20"/>
          <w:szCs w:val="20"/>
        </w:rPr>
      </w:pPr>
    </w:p>
    <w:tbl>
      <w:tblPr>
        <w:tblW w:w="145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
        <w:gridCol w:w="1710"/>
        <w:gridCol w:w="2950"/>
        <w:gridCol w:w="20"/>
        <w:gridCol w:w="3240"/>
        <w:gridCol w:w="1710"/>
        <w:gridCol w:w="1170"/>
        <w:gridCol w:w="1620"/>
        <w:gridCol w:w="1890"/>
      </w:tblGrid>
      <w:tr w:rsidR="00185BF6" w:rsidRPr="009F6F3A" w:rsidTr="000767BF">
        <w:trPr>
          <w:trHeight w:val="1410"/>
          <w:jc w:val="center"/>
        </w:trPr>
        <w:tc>
          <w:tcPr>
            <w:tcW w:w="255"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w:t>
            </w:r>
          </w:p>
        </w:tc>
        <w:tc>
          <w:tcPr>
            <w:tcW w:w="1710"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Project Title</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Description of Activities</w:t>
            </w:r>
          </w:p>
        </w:tc>
        <w:tc>
          <w:tcPr>
            <w:tcW w:w="3240"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Client Name, Contact Name &amp; Tel/Email</w:t>
            </w:r>
          </w:p>
          <w:p w:rsidR="00185BF6" w:rsidRPr="001D199E" w:rsidRDefault="00185BF6" w:rsidP="001D199E">
            <w:pPr>
              <w:spacing w:after="0" w:line="240" w:lineRule="auto"/>
              <w:jc w:val="center"/>
              <w:rPr>
                <w:b/>
                <w:bCs/>
                <w:sz w:val="20"/>
                <w:szCs w:val="20"/>
              </w:rPr>
            </w:pPr>
            <w:r w:rsidRPr="001D199E">
              <w:rPr>
                <w:b/>
                <w:bCs/>
                <w:sz w:val="20"/>
                <w:szCs w:val="20"/>
              </w:rPr>
              <w:t>Funding Agency 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Location</w:t>
            </w:r>
          </w:p>
          <w:p w:rsidR="00185BF6" w:rsidRPr="001D199E" w:rsidRDefault="00185BF6" w:rsidP="001D199E">
            <w:pPr>
              <w:spacing w:after="0" w:line="240" w:lineRule="auto"/>
              <w:jc w:val="center"/>
              <w:rPr>
                <w:b/>
                <w:bCs/>
                <w:sz w:val="20"/>
                <w:szCs w:val="20"/>
              </w:rPr>
            </w:pPr>
            <w:r w:rsidRPr="001D199E">
              <w:rPr>
                <w:b/>
                <w:bCs/>
                <w:sz w:val="20"/>
                <w:szCs w:val="20"/>
              </w:rPr>
              <w:t>City/</w:t>
            </w:r>
          </w:p>
          <w:p w:rsidR="00185BF6" w:rsidRPr="001D199E" w:rsidRDefault="00185BF6" w:rsidP="001D199E">
            <w:pPr>
              <w:spacing w:after="0" w:line="240" w:lineRule="auto"/>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Cost in AFN</w:t>
            </w:r>
          </w:p>
          <w:p w:rsidR="00185BF6" w:rsidRPr="001D199E" w:rsidRDefault="00185BF6" w:rsidP="001D199E">
            <w:pPr>
              <w:spacing w:after="0" w:line="240" w:lineRule="auto"/>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Period of Performance</w:t>
            </w:r>
          </w:p>
          <w:p w:rsidR="00185BF6" w:rsidRPr="001D199E" w:rsidRDefault="00185BF6" w:rsidP="001D199E">
            <w:pPr>
              <w:spacing w:after="0" w:line="240" w:lineRule="auto"/>
              <w:jc w:val="center"/>
              <w:rPr>
                <w:b/>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85BF6" w:rsidRPr="001D199E" w:rsidRDefault="00185BF6" w:rsidP="001D199E">
            <w:pPr>
              <w:spacing w:after="0" w:line="240" w:lineRule="auto"/>
              <w:jc w:val="center"/>
              <w:rPr>
                <w:b/>
                <w:bCs/>
                <w:sz w:val="20"/>
                <w:szCs w:val="20"/>
              </w:rPr>
            </w:pPr>
            <w:r w:rsidRPr="001D199E">
              <w:rPr>
                <w:b/>
                <w:bCs/>
                <w:sz w:val="20"/>
                <w:szCs w:val="20"/>
              </w:rPr>
              <w:t>Type of Agreement, Subcontract, Grant, PO (fixed price, cost reimbursable)</w:t>
            </w:r>
          </w:p>
          <w:p w:rsidR="00185BF6" w:rsidRPr="001D199E" w:rsidRDefault="00185BF6" w:rsidP="001D199E">
            <w:pPr>
              <w:spacing w:after="0" w:line="240" w:lineRule="auto"/>
              <w:jc w:val="center"/>
              <w:rPr>
                <w:b/>
                <w:bCs/>
                <w:sz w:val="20"/>
                <w:szCs w:val="20"/>
              </w:rPr>
            </w:pPr>
          </w:p>
        </w:tc>
      </w:tr>
      <w:tr w:rsidR="00185BF6" w:rsidRPr="00A62596" w:rsidTr="004E6D8F">
        <w:trPr>
          <w:trHeight w:val="285"/>
          <w:jc w:val="center"/>
        </w:trPr>
        <w:tc>
          <w:tcPr>
            <w:tcW w:w="255" w:type="dxa"/>
            <w:tcBorders>
              <w:top w:val="single" w:sz="4" w:space="0" w:color="auto"/>
              <w:left w:val="single" w:sz="4" w:space="0" w:color="auto"/>
              <w:bottom w:val="single" w:sz="4" w:space="0" w:color="auto"/>
              <w:right w:val="single" w:sz="4" w:space="0" w:color="auto"/>
            </w:tcBorders>
            <w:vAlign w:val="center"/>
          </w:tcPr>
          <w:p w:rsidR="00185BF6" w:rsidRPr="004E6D8F" w:rsidRDefault="00185BF6" w:rsidP="001F65D5">
            <w:pPr>
              <w:spacing w:after="0" w:line="240" w:lineRule="auto"/>
              <w:rPr>
                <w:rFonts w:eastAsia="Times New Roman"/>
                <w:sz w:val="20"/>
                <w:szCs w:val="20"/>
              </w:rPr>
            </w:pPr>
            <w:r w:rsidRPr="004E6D8F">
              <w:rPr>
                <w:rFonts w:eastAsia="Times New Roman"/>
                <w:sz w:val="20"/>
                <w:szCs w:val="20"/>
              </w:rPr>
              <w:t>1</w:t>
            </w:r>
          </w:p>
        </w:tc>
        <w:tc>
          <w:tcPr>
            <w:tcW w:w="1710" w:type="dxa"/>
            <w:tcBorders>
              <w:top w:val="single" w:sz="4" w:space="0" w:color="auto"/>
              <w:left w:val="single" w:sz="4" w:space="0" w:color="auto"/>
              <w:bottom w:val="single" w:sz="4" w:space="0" w:color="auto"/>
            </w:tcBorders>
          </w:tcPr>
          <w:p w:rsidR="00185BF6" w:rsidRPr="00A62596" w:rsidRDefault="00185BF6" w:rsidP="001F65D5">
            <w:pPr>
              <w:spacing w:after="0" w:line="240" w:lineRule="auto"/>
              <w:rPr>
                <w:rFonts w:eastAsia="Times New Roman"/>
                <w:i/>
                <w:sz w:val="24"/>
                <w:szCs w:val="24"/>
              </w:rPr>
            </w:pPr>
          </w:p>
          <w:p w:rsidR="00185BF6" w:rsidRPr="00A62596" w:rsidRDefault="00185BF6" w:rsidP="001F65D5">
            <w:pPr>
              <w:spacing w:after="0" w:line="240" w:lineRule="auto"/>
              <w:rPr>
                <w:rFonts w:eastAsia="Times New Roman"/>
                <w:i/>
                <w:sz w:val="24"/>
                <w:szCs w:val="24"/>
              </w:rPr>
            </w:pPr>
          </w:p>
        </w:tc>
        <w:tc>
          <w:tcPr>
            <w:tcW w:w="2950" w:type="dxa"/>
            <w:tcBorders>
              <w:top w:val="single" w:sz="4" w:space="0" w:color="auto"/>
              <w:bottom w:val="single" w:sz="4" w:space="0" w:color="auto"/>
              <w:right w:val="single" w:sz="4" w:space="0" w:color="auto"/>
            </w:tcBorders>
          </w:tcPr>
          <w:p w:rsidR="00185BF6" w:rsidRPr="00A62596" w:rsidRDefault="00185BF6" w:rsidP="001F65D5">
            <w:pPr>
              <w:spacing w:after="0" w:line="240" w:lineRule="auto"/>
              <w:rPr>
                <w:rFonts w:eastAsia="Times New Roman"/>
                <w:i/>
                <w:sz w:val="24"/>
                <w:szCs w:val="24"/>
              </w:rPr>
            </w:pPr>
          </w:p>
        </w:tc>
        <w:tc>
          <w:tcPr>
            <w:tcW w:w="3260" w:type="dxa"/>
            <w:gridSpan w:val="2"/>
            <w:tcBorders>
              <w:top w:val="single" w:sz="4" w:space="0" w:color="auto"/>
              <w:left w:val="single" w:sz="4" w:space="0" w:color="auto"/>
              <w:bottom w:val="single" w:sz="4" w:space="0" w:color="auto"/>
            </w:tcBorders>
          </w:tcPr>
          <w:p w:rsidR="00185BF6" w:rsidRPr="00A62596" w:rsidRDefault="00185BF6" w:rsidP="001F65D5">
            <w:pPr>
              <w:spacing w:after="0" w:line="240" w:lineRule="auto"/>
              <w:rPr>
                <w:rFonts w:eastAsia="Times New Roman"/>
                <w:i/>
                <w:sz w:val="24"/>
                <w:szCs w:val="24"/>
              </w:rPr>
            </w:pPr>
          </w:p>
        </w:tc>
        <w:tc>
          <w:tcPr>
            <w:tcW w:w="1710" w:type="dxa"/>
            <w:tcBorders>
              <w:top w:val="single" w:sz="4" w:space="0" w:color="auto"/>
              <w:bottom w:val="single" w:sz="4" w:space="0" w:color="auto"/>
            </w:tcBorders>
          </w:tcPr>
          <w:p w:rsidR="00185BF6" w:rsidRPr="00A62596" w:rsidRDefault="00185BF6" w:rsidP="001F65D5">
            <w:pPr>
              <w:spacing w:after="0" w:line="240" w:lineRule="auto"/>
              <w:rPr>
                <w:rFonts w:eastAsia="Times New Roman"/>
                <w:i/>
                <w:sz w:val="24"/>
                <w:szCs w:val="24"/>
              </w:rPr>
            </w:pPr>
          </w:p>
        </w:tc>
        <w:tc>
          <w:tcPr>
            <w:tcW w:w="1170" w:type="dxa"/>
            <w:tcBorders>
              <w:top w:val="single" w:sz="4" w:space="0" w:color="auto"/>
              <w:bottom w:val="single" w:sz="4" w:space="0" w:color="auto"/>
            </w:tcBorders>
          </w:tcPr>
          <w:p w:rsidR="00185BF6" w:rsidRPr="00A62596" w:rsidRDefault="00185BF6" w:rsidP="001F65D5">
            <w:pPr>
              <w:spacing w:after="0" w:line="240" w:lineRule="auto"/>
              <w:rPr>
                <w:rFonts w:eastAsia="Times New Roman"/>
                <w:i/>
                <w:sz w:val="24"/>
                <w:szCs w:val="24"/>
              </w:rPr>
            </w:pPr>
          </w:p>
        </w:tc>
        <w:tc>
          <w:tcPr>
            <w:tcW w:w="1620" w:type="dxa"/>
            <w:tcBorders>
              <w:top w:val="single" w:sz="4" w:space="0" w:color="auto"/>
              <w:bottom w:val="single" w:sz="4" w:space="0" w:color="auto"/>
            </w:tcBorders>
          </w:tcPr>
          <w:p w:rsidR="00185BF6" w:rsidRPr="00A62596" w:rsidRDefault="00185BF6" w:rsidP="001F65D5">
            <w:pPr>
              <w:spacing w:after="0" w:line="240" w:lineRule="auto"/>
              <w:rPr>
                <w:rFonts w:eastAsia="Times New Roman"/>
                <w:i/>
                <w:sz w:val="24"/>
                <w:szCs w:val="24"/>
              </w:rPr>
            </w:pPr>
          </w:p>
        </w:tc>
        <w:tc>
          <w:tcPr>
            <w:tcW w:w="1890" w:type="dxa"/>
            <w:tcBorders>
              <w:top w:val="single" w:sz="4" w:space="0" w:color="auto"/>
              <w:bottom w:val="single" w:sz="4" w:space="0" w:color="auto"/>
              <w:right w:val="single" w:sz="4" w:space="0" w:color="auto"/>
            </w:tcBorders>
          </w:tcPr>
          <w:p w:rsidR="00185BF6" w:rsidRPr="00A62596" w:rsidRDefault="00185BF6" w:rsidP="001F65D5">
            <w:pPr>
              <w:spacing w:after="0" w:line="240" w:lineRule="auto"/>
              <w:rPr>
                <w:rFonts w:eastAsia="Times New Roman"/>
                <w:i/>
                <w:sz w:val="24"/>
                <w:szCs w:val="24"/>
              </w:rPr>
            </w:pPr>
          </w:p>
        </w:tc>
      </w:tr>
      <w:tr w:rsidR="00185BF6" w:rsidRPr="00A62596" w:rsidTr="004E6D8F">
        <w:trPr>
          <w:trHeight w:val="263"/>
          <w:jc w:val="center"/>
        </w:trPr>
        <w:tc>
          <w:tcPr>
            <w:tcW w:w="255" w:type="dxa"/>
            <w:tcBorders>
              <w:top w:val="single" w:sz="4" w:space="0" w:color="auto"/>
              <w:left w:val="single" w:sz="4" w:space="0" w:color="auto"/>
            </w:tcBorders>
            <w:vAlign w:val="center"/>
          </w:tcPr>
          <w:p w:rsidR="00185BF6" w:rsidRPr="004E6D8F" w:rsidRDefault="00185BF6" w:rsidP="001F65D5">
            <w:pPr>
              <w:spacing w:after="0" w:line="240" w:lineRule="auto"/>
              <w:rPr>
                <w:rFonts w:eastAsia="Times New Roman"/>
                <w:sz w:val="20"/>
                <w:szCs w:val="20"/>
              </w:rPr>
            </w:pPr>
            <w:r w:rsidRPr="004E6D8F">
              <w:rPr>
                <w:rFonts w:eastAsia="Times New Roman"/>
                <w:sz w:val="20"/>
                <w:szCs w:val="20"/>
              </w:rPr>
              <w:t>2</w:t>
            </w:r>
          </w:p>
        </w:tc>
        <w:tc>
          <w:tcPr>
            <w:tcW w:w="1710" w:type="dxa"/>
            <w:tcBorders>
              <w:top w:val="single" w:sz="4" w:space="0" w:color="auto"/>
            </w:tcBorders>
          </w:tcPr>
          <w:p w:rsidR="00185BF6" w:rsidRPr="00A62596" w:rsidRDefault="00185BF6" w:rsidP="001F65D5">
            <w:pPr>
              <w:spacing w:after="0" w:line="240" w:lineRule="auto"/>
              <w:rPr>
                <w:rFonts w:eastAsia="Times New Roman"/>
                <w:i/>
                <w:sz w:val="24"/>
                <w:szCs w:val="24"/>
              </w:rPr>
            </w:pPr>
          </w:p>
          <w:p w:rsidR="00185BF6" w:rsidRPr="00A62596" w:rsidRDefault="00185BF6" w:rsidP="001F65D5">
            <w:pPr>
              <w:spacing w:after="0" w:line="240" w:lineRule="auto"/>
              <w:rPr>
                <w:rFonts w:eastAsia="Times New Roman"/>
                <w:i/>
                <w:sz w:val="24"/>
                <w:szCs w:val="24"/>
              </w:rPr>
            </w:pPr>
          </w:p>
        </w:tc>
        <w:tc>
          <w:tcPr>
            <w:tcW w:w="2950" w:type="dxa"/>
            <w:tcBorders>
              <w:top w:val="single" w:sz="4" w:space="0" w:color="auto"/>
              <w:right w:val="single" w:sz="4" w:space="0" w:color="auto"/>
            </w:tcBorders>
          </w:tcPr>
          <w:p w:rsidR="00185BF6" w:rsidRPr="00A62596" w:rsidRDefault="00185BF6" w:rsidP="001F65D5">
            <w:pPr>
              <w:spacing w:after="0" w:line="240" w:lineRule="auto"/>
              <w:rPr>
                <w:rFonts w:eastAsia="Times New Roman"/>
                <w:i/>
                <w:sz w:val="24"/>
                <w:szCs w:val="24"/>
              </w:rPr>
            </w:pPr>
          </w:p>
        </w:tc>
        <w:tc>
          <w:tcPr>
            <w:tcW w:w="3260" w:type="dxa"/>
            <w:gridSpan w:val="2"/>
            <w:tcBorders>
              <w:top w:val="single" w:sz="4" w:space="0" w:color="auto"/>
              <w:left w:val="single" w:sz="4" w:space="0" w:color="auto"/>
            </w:tcBorders>
          </w:tcPr>
          <w:p w:rsidR="00185BF6" w:rsidRPr="00A62596" w:rsidRDefault="00185BF6" w:rsidP="001F65D5">
            <w:pPr>
              <w:spacing w:after="0" w:line="240" w:lineRule="auto"/>
              <w:rPr>
                <w:rFonts w:eastAsia="Times New Roman"/>
                <w:i/>
                <w:sz w:val="24"/>
                <w:szCs w:val="24"/>
              </w:rPr>
            </w:pPr>
          </w:p>
        </w:tc>
        <w:tc>
          <w:tcPr>
            <w:tcW w:w="1710" w:type="dxa"/>
            <w:tcBorders>
              <w:top w:val="single" w:sz="4" w:space="0" w:color="auto"/>
            </w:tcBorders>
          </w:tcPr>
          <w:p w:rsidR="00185BF6" w:rsidRPr="00A62596" w:rsidRDefault="00185BF6" w:rsidP="001F65D5">
            <w:pPr>
              <w:spacing w:after="0" w:line="240" w:lineRule="auto"/>
              <w:rPr>
                <w:rFonts w:eastAsia="Times New Roman"/>
                <w:i/>
                <w:sz w:val="24"/>
                <w:szCs w:val="24"/>
              </w:rPr>
            </w:pPr>
          </w:p>
        </w:tc>
        <w:tc>
          <w:tcPr>
            <w:tcW w:w="1170" w:type="dxa"/>
            <w:tcBorders>
              <w:top w:val="single" w:sz="4" w:space="0" w:color="auto"/>
            </w:tcBorders>
          </w:tcPr>
          <w:p w:rsidR="00185BF6" w:rsidRPr="00A62596" w:rsidRDefault="00185BF6" w:rsidP="001F65D5">
            <w:pPr>
              <w:spacing w:after="0" w:line="240" w:lineRule="auto"/>
              <w:rPr>
                <w:rFonts w:eastAsia="Times New Roman"/>
                <w:i/>
                <w:sz w:val="24"/>
                <w:szCs w:val="24"/>
              </w:rPr>
            </w:pPr>
          </w:p>
        </w:tc>
        <w:tc>
          <w:tcPr>
            <w:tcW w:w="1620" w:type="dxa"/>
            <w:tcBorders>
              <w:top w:val="single" w:sz="4" w:space="0" w:color="auto"/>
            </w:tcBorders>
          </w:tcPr>
          <w:p w:rsidR="00185BF6" w:rsidRPr="00A62596" w:rsidRDefault="00185BF6" w:rsidP="001F65D5">
            <w:pPr>
              <w:spacing w:after="0" w:line="240" w:lineRule="auto"/>
              <w:rPr>
                <w:rFonts w:eastAsia="Times New Roman"/>
                <w:i/>
                <w:sz w:val="24"/>
                <w:szCs w:val="24"/>
              </w:rPr>
            </w:pPr>
          </w:p>
        </w:tc>
        <w:tc>
          <w:tcPr>
            <w:tcW w:w="1890" w:type="dxa"/>
            <w:tcBorders>
              <w:top w:val="single" w:sz="4" w:space="0" w:color="auto"/>
              <w:right w:val="single" w:sz="4" w:space="0" w:color="auto"/>
            </w:tcBorders>
          </w:tcPr>
          <w:p w:rsidR="00185BF6" w:rsidRPr="00A62596" w:rsidRDefault="00185BF6" w:rsidP="001F65D5">
            <w:pPr>
              <w:spacing w:after="0" w:line="240" w:lineRule="auto"/>
              <w:rPr>
                <w:rFonts w:eastAsia="Times New Roman"/>
                <w:i/>
                <w:sz w:val="24"/>
                <w:szCs w:val="24"/>
              </w:rPr>
            </w:pPr>
          </w:p>
        </w:tc>
      </w:tr>
      <w:tr w:rsidR="00185BF6" w:rsidRPr="00A62596" w:rsidTr="004E6D8F">
        <w:trPr>
          <w:trHeight w:val="263"/>
          <w:jc w:val="center"/>
        </w:trPr>
        <w:tc>
          <w:tcPr>
            <w:tcW w:w="255" w:type="dxa"/>
            <w:tcBorders>
              <w:left w:val="single" w:sz="4" w:space="0" w:color="auto"/>
            </w:tcBorders>
            <w:vAlign w:val="center"/>
          </w:tcPr>
          <w:p w:rsidR="00185BF6" w:rsidRPr="004E6D8F" w:rsidRDefault="00185BF6" w:rsidP="001F65D5">
            <w:pPr>
              <w:spacing w:after="0" w:line="240" w:lineRule="auto"/>
              <w:rPr>
                <w:rFonts w:eastAsia="Times New Roman"/>
                <w:sz w:val="20"/>
                <w:szCs w:val="20"/>
              </w:rPr>
            </w:pPr>
            <w:r w:rsidRPr="004E6D8F">
              <w:rPr>
                <w:rFonts w:eastAsia="Times New Roman"/>
                <w:sz w:val="20"/>
                <w:szCs w:val="20"/>
              </w:rPr>
              <w:t>3</w:t>
            </w:r>
          </w:p>
        </w:tc>
        <w:tc>
          <w:tcPr>
            <w:tcW w:w="1710" w:type="dxa"/>
          </w:tcPr>
          <w:p w:rsidR="00185BF6" w:rsidRPr="00A62596" w:rsidRDefault="00185BF6" w:rsidP="001F65D5">
            <w:pPr>
              <w:spacing w:after="0" w:line="240" w:lineRule="auto"/>
              <w:rPr>
                <w:rFonts w:eastAsia="Times New Roman"/>
                <w:i/>
                <w:sz w:val="24"/>
                <w:szCs w:val="24"/>
              </w:rPr>
            </w:pPr>
          </w:p>
          <w:p w:rsidR="00185BF6" w:rsidRPr="00A62596" w:rsidRDefault="00185BF6" w:rsidP="001F65D5">
            <w:pPr>
              <w:spacing w:after="0" w:line="240" w:lineRule="auto"/>
              <w:rPr>
                <w:rFonts w:eastAsia="Times New Roman"/>
                <w:i/>
                <w:sz w:val="24"/>
                <w:szCs w:val="24"/>
              </w:rPr>
            </w:pPr>
          </w:p>
        </w:tc>
        <w:tc>
          <w:tcPr>
            <w:tcW w:w="2950" w:type="dxa"/>
            <w:tcBorders>
              <w:right w:val="single" w:sz="4" w:space="0" w:color="auto"/>
            </w:tcBorders>
          </w:tcPr>
          <w:p w:rsidR="00185BF6" w:rsidRPr="00A62596" w:rsidRDefault="00185BF6" w:rsidP="001F65D5">
            <w:pPr>
              <w:spacing w:after="0" w:line="240" w:lineRule="auto"/>
              <w:rPr>
                <w:rFonts w:eastAsia="Times New Roman"/>
                <w:i/>
                <w:sz w:val="24"/>
                <w:szCs w:val="24"/>
              </w:rPr>
            </w:pPr>
          </w:p>
        </w:tc>
        <w:tc>
          <w:tcPr>
            <w:tcW w:w="3260" w:type="dxa"/>
            <w:gridSpan w:val="2"/>
            <w:tcBorders>
              <w:left w:val="single" w:sz="4" w:space="0" w:color="auto"/>
            </w:tcBorders>
          </w:tcPr>
          <w:p w:rsidR="00185BF6" w:rsidRPr="00A62596" w:rsidRDefault="00185BF6" w:rsidP="001F65D5">
            <w:pPr>
              <w:spacing w:after="0" w:line="240" w:lineRule="auto"/>
              <w:rPr>
                <w:rFonts w:eastAsia="Times New Roman"/>
                <w:i/>
                <w:sz w:val="24"/>
                <w:szCs w:val="24"/>
              </w:rPr>
            </w:pPr>
          </w:p>
        </w:tc>
        <w:tc>
          <w:tcPr>
            <w:tcW w:w="1710" w:type="dxa"/>
          </w:tcPr>
          <w:p w:rsidR="00185BF6" w:rsidRPr="00A62596" w:rsidRDefault="00185BF6" w:rsidP="001F65D5">
            <w:pPr>
              <w:spacing w:after="0" w:line="240" w:lineRule="auto"/>
              <w:rPr>
                <w:rFonts w:eastAsia="Times New Roman"/>
                <w:i/>
                <w:sz w:val="24"/>
                <w:szCs w:val="24"/>
              </w:rPr>
            </w:pPr>
          </w:p>
        </w:tc>
        <w:tc>
          <w:tcPr>
            <w:tcW w:w="1170" w:type="dxa"/>
          </w:tcPr>
          <w:p w:rsidR="00185BF6" w:rsidRPr="00A62596" w:rsidRDefault="00185BF6" w:rsidP="001F65D5">
            <w:pPr>
              <w:spacing w:after="0" w:line="240" w:lineRule="auto"/>
              <w:rPr>
                <w:rFonts w:eastAsia="Times New Roman"/>
                <w:i/>
                <w:sz w:val="24"/>
                <w:szCs w:val="24"/>
              </w:rPr>
            </w:pPr>
          </w:p>
        </w:tc>
        <w:tc>
          <w:tcPr>
            <w:tcW w:w="1620" w:type="dxa"/>
          </w:tcPr>
          <w:p w:rsidR="00185BF6" w:rsidRPr="00A62596" w:rsidRDefault="00185BF6" w:rsidP="001F65D5">
            <w:pPr>
              <w:spacing w:after="0" w:line="240" w:lineRule="auto"/>
              <w:rPr>
                <w:rFonts w:eastAsia="Times New Roman"/>
                <w:i/>
                <w:sz w:val="24"/>
                <w:szCs w:val="24"/>
              </w:rPr>
            </w:pPr>
          </w:p>
        </w:tc>
        <w:tc>
          <w:tcPr>
            <w:tcW w:w="1890" w:type="dxa"/>
            <w:tcBorders>
              <w:right w:val="single" w:sz="4" w:space="0" w:color="auto"/>
            </w:tcBorders>
          </w:tcPr>
          <w:p w:rsidR="00185BF6" w:rsidRPr="00A62596" w:rsidRDefault="00185BF6" w:rsidP="001F65D5">
            <w:pPr>
              <w:spacing w:after="0" w:line="240" w:lineRule="auto"/>
              <w:rPr>
                <w:rFonts w:eastAsia="Times New Roman"/>
                <w:i/>
                <w:sz w:val="24"/>
                <w:szCs w:val="24"/>
              </w:rPr>
            </w:pPr>
          </w:p>
        </w:tc>
      </w:tr>
      <w:tr w:rsidR="00185BF6" w:rsidRPr="00A62596" w:rsidTr="004E6D8F">
        <w:trPr>
          <w:trHeight w:val="263"/>
          <w:jc w:val="center"/>
        </w:trPr>
        <w:tc>
          <w:tcPr>
            <w:tcW w:w="255" w:type="dxa"/>
            <w:tcBorders>
              <w:left w:val="single" w:sz="4" w:space="0" w:color="auto"/>
            </w:tcBorders>
            <w:vAlign w:val="center"/>
          </w:tcPr>
          <w:p w:rsidR="00185BF6" w:rsidRPr="004E6D8F" w:rsidRDefault="00185BF6" w:rsidP="001F65D5">
            <w:pPr>
              <w:spacing w:after="0" w:line="240" w:lineRule="auto"/>
              <w:rPr>
                <w:rFonts w:eastAsia="Times New Roman"/>
                <w:sz w:val="20"/>
                <w:szCs w:val="20"/>
              </w:rPr>
            </w:pPr>
            <w:r w:rsidRPr="004E6D8F">
              <w:rPr>
                <w:rFonts w:eastAsia="Times New Roman"/>
                <w:sz w:val="20"/>
                <w:szCs w:val="20"/>
              </w:rPr>
              <w:t>4</w:t>
            </w:r>
          </w:p>
        </w:tc>
        <w:tc>
          <w:tcPr>
            <w:tcW w:w="1710" w:type="dxa"/>
          </w:tcPr>
          <w:p w:rsidR="00185BF6" w:rsidRPr="00A62596" w:rsidRDefault="00185BF6" w:rsidP="001F65D5">
            <w:pPr>
              <w:spacing w:after="0" w:line="240" w:lineRule="auto"/>
              <w:rPr>
                <w:rFonts w:eastAsia="Times New Roman"/>
                <w:i/>
                <w:sz w:val="24"/>
                <w:szCs w:val="24"/>
              </w:rPr>
            </w:pPr>
          </w:p>
          <w:p w:rsidR="00185BF6" w:rsidRPr="00A62596" w:rsidRDefault="00185BF6" w:rsidP="001F65D5">
            <w:pPr>
              <w:spacing w:after="0" w:line="240" w:lineRule="auto"/>
              <w:rPr>
                <w:rFonts w:eastAsia="Times New Roman"/>
                <w:i/>
                <w:sz w:val="24"/>
                <w:szCs w:val="24"/>
              </w:rPr>
            </w:pPr>
          </w:p>
        </w:tc>
        <w:tc>
          <w:tcPr>
            <w:tcW w:w="2950" w:type="dxa"/>
            <w:tcBorders>
              <w:right w:val="single" w:sz="4" w:space="0" w:color="auto"/>
            </w:tcBorders>
          </w:tcPr>
          <w:p w:rsidR="00185BF6" w:rsidRPr="00A62596" w:rsidRDefault="00185BF6" w:rsidP="001F65D5">
            <w:pPr>
              <w:spacing w:after="0" w:line="240" w:lineRule="auto"/>
              <w:rPr>
                <w:rFonts w:eastAsia="Times New Roman"/>
                <w:i/>
                <w:sz w:val="24"/>
                <w:szCs w:val="24"/>
              </w:rPr>
            </w:pPr>
          </w:p>
        </w:tc>
        <w:tc>
          <w:tcPr>
            <w:tcW w:w="3260" w:type="dxa"/>
            <w:gridSpan w:val="2"/>
            <w:tcBorders>
              <w:left w:val="single" w:sz="4" w:space="0" w:color="auto"/>
            </w:tcBorders>
          </w:tcPr>
          <w:p w:rsidR="00185BF6" w:rsidRPr="00A62596" w:rsidRDefault="00185BF6" w:rsidP="001F65D5">
            <w:pPr>
              <w:spacing w:after="0" w:line="240" w:lineRule="auto"/>
              <w:rPr>
                <w:rFonts w:eastAsia="Times New Roman"/>
                <w:i/>
                <w:sz w:val="24"/>
                <w:szCs w:val="24"/>
              </w:rPr>
            </w:pPr>
          </w:p>
        </w:tc>
        <w:tc>
          <w:tcPr>
            <w:tcW w:w="1710" w:type="dxa"/>
          </w:tcPr>
          <w:p w:rsidR="00185BF6" w:rsidRPr="00A62596" w:rsidRDefault="00185BF6" w:rsidP="001F65D5">
            <w:pPr>
              <w:spacing w:after="0" w:line="240" w:lineRule="auto"/>
              <w:rPr>
                <w:rFonts w:eastAsia="Times New Roman"/>
                <w:i/>
                <w:sz w:val="24"/>
                <w:szCs w:val="24"/>
              </w:rPr>
            </w:pPr>
          </w:p>
        </w:tc>
        <w:tc>
          <w:tcPr>
            <w:tcW w:w="1170" w:type="dxa"/>
          </w:tcPr>
          <w:p w:rsidR="00185BF6" w:rsidRPr="00A62596" w:rsidRDefault="00185BF6" w:rsidP="001F65D5">
            <w:pPr>
              <w:spacing w:after="0" w:line="240" w:lineRule="auto"/>
              <w:rPr>
                <w:rFonts w:eastAsia="Times New Roman"/>
                <w:i/>
                <w:sz w:val="24"/>
                <w:szCs w:val="24"/>
              </w:rPr>
            </w:pPr>
          </w:p>
        </w:tc>
        <w:tc>
          <w:tcPr>
            <w:tcW w:w="1620" w:type="dxa"/>
          </w:tcPr>
          <w:p w:rsidR="00185BF6" w:rsidRPr="00A62596" w:rsidRDefault="00185BF6" w:rsidP="001F65D5">
            <w:pPr>
              <w:spacing w:after="0" w:line="240" w:lineRule="auto"/>
              <w:rPr>
                <w:rFonts w:eastAsia="Times New Roman"/>
                <w:i/>
                <w:sz w:val="24"/>
                <w:szCs w:val="24"/>
              </w:rPr>
            </w:pPr>
          </w:p>
        </w:tc>
        <w:tc>
          <w:tcPr>
            <w:tcW w:w="1890" w:type="dxa"/>
            <w:tcBorders>
              <w:right w:val="single" w:sz="4" w:space="0" w:color="auto"/>
            </w:tcBorders>
          </w:tcPr>
          <w:p w:rsidR="00185BF6" w:rsidRPr="00A62596" w:rsidRDefault="00185BF6" w:rsidP="001F65D5">
            <w:pPr>
              <w:spacing w:after="0" w:line="240" w:lineRule="auto"/>
              <w:rPr>
                <w:rFonts w:eastAsia="Times New Roman"/>
                <w:i/>
                <w:sz w:val="24"/>
                <w:szCs w:val="24"/>
              </w:rPr>
            </w:pPr>
          </w:p>
        </w:tc>
      </w:tr>
      <w:tr w:rsidR="00185BF6" w:rsidRPr="00A62596" w:rsidTr="004E6D8F">
        <w:trPr>
          <w:trHeight w:val="480"/>
          <w:jc w:val="center"/>
        </w:trPr>
        <w:tc>
          <w:tcPr>
            <w:tcW w:w="255" w:type="dxa"/>
            <w:tcBorders>
              <w:left w:val="single" w:sz="4" w:space="0" w:color="auto"/>
              <w:bottom w:val="single" w:sz="4" w:space="0" w:color="auto"/>
            </w:tcBorders>
            <w:vAlign w:val="center"/>
          </w:tcPr>
          <w:p w:rsidR="00185BF6" w:rsidRPr="004E6D8F" w:rsidRDefault="00185BF6" w:rsidP="001F65D5">
            <w:pPr>
              <w:spacing w:after="0" w:line="240" w:lineRule="auto"/>
              <w:rPr>
                <w:rFonts w:eastAsia="Times New Roman"/>
                <w:sz w:val="20"/>
                <w:szCs w:val="20"/>
              </w:rPr>
            </w:pPr>
            <w:r w:rsidRPr="004E6D8F">
              <w:rPr>
                <w:rFonts w:eastAsia="Times New Roman"/>
                <w:sz w:val="20"/>
                <w:szCs w:val="20"/>
              </w:rPr>
              <w:t>5</w:t>
            </w:r>
          </w:p>
        </w:tc>
        <w:tc>
          <w:tcPr>
            <w:tcW w:w="1710" w:type="dxa"/>
            <w:tcBorders>
              <w:bottom w:val="single" w:sz="4" w:space="0" w:color="auto"/>
            </w:tcBorders>
          </w:tcPr>
          <w:p w:rsidR="00185BF6" w:rsidRPr="00A62596" w:rsidRDefault="00185BF6" w:rsidP="001F65D5">
            <w:pPr>
              <w:spacing w:after="0" w:line="240" w:lineRule="auto"/>
              <w:rPr>
                <w:rFonts w:eastAsia="Times New Roman"/>
                <w:i/>
                <w:sz w:val="24"/>
                <w:szCs w:val="24"/>
              </w:rPr>
            </w:pPr>
          </w:p>
        </w:tc>
        <w:tc>
          <w:tcPr>
            <w:tcW w:w="2950" w:type="dxa"/>
            <w:tcBorders>
              <w:bottom w:val="single" w:sz="4" w:space="0" w:color="auto"/>
              <w:right w:val="single" w:sz="4" w:space="0" w:color="auto"/>
            </w:tcBorders>
          </w:tcPr>
          <w:p w:rsidR="00185BF6" w:rsidRPr="00A62596" w:rsidRDefault="00185BF6" w:rsidP="001F65D5">
            <w:pPr>
              <w:spacing w:after="0" w:line="240" w:lineRule="auto"/>
              <w:rPr>
                <w:rFonts w:eastAsia="Times New Roman"/>
                <w:i/>
                <w:sz w:val="24"/>
                <w:szCs w:val="24"/>
              </w:rPr>
            </w:pPr>
          </w:p>
        </w:tc>
        <w:tc>
          <w:tcPr>
            <w:tcW w:w="3260" w:type="dxa"/>
            <w:gridSpan w:val="2"/>
            <w:tcBorders>
              <w:left w:val="single" w:sz="4" w:space="0" w:color="auto"/>
              <w:bottom w:val="single" w:sz="4" w:space="0" w:color="auto"/>
            </w:tcBorders>
          </w:tcPr>
          <w:p w:rsidR="00185BF6" w:rsidRPr="00A62596" w:rsidRDefault="00185BF6" w:rsidP="001F65D5">
            <w:pPr>
              <w:spacing w:after="0" w:line="240" w:lineRule="auto"/>
              <w:rPr>
                <w:rFonts w:eastAsia="Times New Roman"/>
                <w:i/>
                <w:sz w:val="24"/>
                <w:szCs w:val="24"/>
              </w:rPr>
            </w:pPr>
          </w:p>
        </w:tc>
        <w:tc>
          <w:tcPr>
            <w:tcW w:w="1710" w:type="dxa"/>
            <w:tcBorders>
              <w:bottom w:val="single" w:sz="4" w:space="0" w:color="auto"/>
            </w:tcBorders>
          </w:tcPr>
          <w:p w:rsidR="00185BF6" w:rsidRPr="00A62596" w:rsidRDefault="00185BF6" w:rsidP="001F65D5">
            <w:pPr>
              <w:spacing w:after="0" w:line="240" w:lineRule="auto"/>
              <w:rPr>
                <w:rFonts w:eastAsia="Times New Roman"/>
                <w:i/>
                <w:sz w:val="24"/>
                <w:szCs w:val="24"/>
              </w:rPr>
            </w:pPr>
          </w:p>
        </w:tc>
        <w:tc>
          <w:tcPr>
            <w:tcW w:w="1170" w:type="dxa"/>
            <w:tcBorders>
              <w:bottom w:val="single" w:sz="4" w:space="0" w:color="auto"/>
            </w:tcBorders>
          </w:tcPr>
          <w:p w:rsidR="00185BF6" w:rsidRPr="00A62596" w:rsidRDefault="00185BF6" w:rsidP="001F65D5">
            <w:pPr>
              <w:spacing w:after="0" w:line="240" w:lineRule="auto"/>
              <w:rPr>
                <w:rFonts w:eastAsia="Times New Roman"/>
                <w:i/>
                <w:sz w:val="24"/>
                <w:szCs w:val="24"/>
              </w:rPr>
            </w:pPr>
          </w:p>
        </w:tc>
        <w:tc>
          <w:tcPr>
            <w:tcW w:w="1620" w:type="dxa"/>
            <w:tcBorders>
              <w:bottom w:val="single" w:sz="4" w:space="0" w:color="auto"/>
            </w:tcBorders>
          </w:tcPr>
          <w:p w:rsidR="00185BF6" w:rsidRPr="00A62596" w:rsidRDefault="00185BF6" w:rsidP="001F65D5">
            <w:pPr>
              <w:spacing w:after="0" w:line="240" w:lineRule="auto"/>
              <w:rPr>
                <w:rFonts w:eastAsia="Times New Roman"/>
                <w:i/>
                <w:sz w:val="24"/>
                <w:szCs w:val="24"/>
              </w:rPr>
            </w:pPr>
          </w:p>
        </w:tc>
        <w:tc>
          <w:tcPr>
            <w:tcW w:w="1890" w:type="dxa"/>
            <w:tcBorders>
              <w:bottom w:val="single" w:sz="4" w:space="0" w:color="auto"/>
              <w:right w:val="single" w:sz="4" w:space="0" w:color="auto"/>
            </w:tcBorders>
          </w:tcPr>
          <w:p w:rsidR="00185BF6" w:rsidRPr="00A62596" w:rsidRDefault="00185BF6" w:rsidP="001F65D5">
            <w:pPr>
              <w:spacing w:after="0" w:line="240" w:lineRule="auto"/>
              <w:rPr>
                <w:rFonts w:eastAsia="Times New Roman"/>
                <w:i/>
                <w:sz w:val="24"/>
                <w:szCs w:val="24"/>
              </w:rPr>
            </w:pPr>
          </w:p>
        </w:tc>
      </w:tr>
    </w:tbl>
    <w:p w:rsidR="00185BF6" w:rsidRPr="00A62596" w:rsidRDefault="00185BF6" w:rsidP="00185BF6">
      <w:pPr>
        <w:spacing w:after="0" w:line="240" w:lineRule="auto"/>
        <w:rPr>
          <w:rFonts w:eastAsia="Times New Roman"/>
          <w:i/>
          <w:sz w:val="24"/>
          <w:szCs w:val="24"/>
        </w:rPr>
      </w:pPr>
    </w:p>
    <w:p w:rsidR="00185BF6" w:rsidRDefault="00185BF6" w:rsidP="00185BF6">
      <w:pPr>
        <w:tabs>
          <w:tab w:val="left" w:pos="8568"/>
        </w:tabs>
        <w:ind w:left="5040" w:firstLine="720"/>
      </w:pPr>
    </w:p>
    <w:p w:rsidR="00185BF6" w:rsidRDefault="00185BF6" w:rsidP="00185BF6">
      <w:pPr>
        <w:tabs>
          <w:tab w:val="left" w:pos="8568"/>
        </w:tabs>
        <w:ind w:left="5040" w:firstLine="720"/>
        <w:sectPr w:rsidR="00185BF6" w:rsidSect="00620243">
          <w:pgSz w:w="15840" w:h="12240" w:orient="landscape" w:code="1"/>
          <w:pgMar w:top="1080" w:right="1440" w:bottom="1440" w:left="1440" w:header="720" w:footer="720" w:gutter="0"/>
          <w:cols w:space="720"/>
          <w:docGrid w:linePitch="360"/>
        </w:sectPr>
      </w:pPr>
    </w:p>
    <w:p w:rsidR="00185BF6" w:rsidRPr="00185BF6" w:rsidRDefault="00185BF6" w:rsidP="00185BF6"/>
    <w:p w:rsidR="006534C9" w:rsidRPr="00620243" w:rsidRDefault="00573AE4" w:rsidP="00185BF6">
      <w:pPr>
        <w:pStyle w:val="Heading2"/>
        <w:numPr>
          <w:ilvl w:val="0"/>
          <w:numId w:val="0"/>
        </w:numPr>
        <w:ind w:left="360"/>
        <w:rPr>
          <w:rFonts w:ascii="Calibri" w:hAnsi="Calibri" w:cs="Calibri"/>
          <w:i w:val="0"/>
          <w:iCs/>
          <w:sz w:val="20"/>
          <w:szCs w:val="20"/>
        </w:rPr>
      </w:pPr>
      <w:r w:rsidRPr="00620243">
        <w:rPr>
          <w:rFonts w:ascii="Calibri" w:hAnsi="Calibri" w:cs="Calibri"/>
          <w:i w:val="0"/>
          <w:iCs/>
          <w:sz w:val="20"/>
          <w:szCs w:val="20"/>
        </w:rPr>
        <w:t xml:space="preserve">Attachment </w:t>
      </w:r>
      <w:r w:rsidR="00185BF6" w:rsidRPr="00620243">
        <w:rPr>
          <w:rFonts w:ascii="Calibri" w:hAnsi="Calibri" w:cs="Calibri"/>
          <w:i w:val="0"/>
          <w:iCs/>
          <w:sz w:val="20"/>
          <w:szCs w:val="20"/>
        </w:rPr>
        <w:t>C</w:t>
      </w:r>
      <w:r w:rsidR="00636156" w:rsidRPr="00620243">
        <w:rPr>
          <w:rFonts w:ascii="Calibri" w:hAnsi="Calibri" w:cs="Calibri"/>
          <w:i w:val="0"/>
          <w:iCs/>
          <w:sz w:val="20"/>
          <w:szCs w:val="20"/>
        </w:rPr>
        <w:t>: Representations and Certifications of Compliance</w:t>
      </w: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Federal Excluded Parties List</w:t>
      </w:r>
      <w:r w:rsidRPr="000C758A">
        <w:rPr>
          <w:rFonts w:cs="Arial"/>
          <w:sz w:val="20"/>
          <w:szCs w:val="20"/>
        </w:rPr>
        <w:t xml:space="preserve"> - The Bidder Select is not presently debarred, suspended, or determined ineligible for an award of a contract by any Federal agency.</w:t>
      </w:r>
    </w:p>
    <w:p w:rsidR="006534C9" w:rsidRPr="00E06B71"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2"/>
          <w:szCs w:val="2"/>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Executive Compensation Certification-</w:t>
      </w:r>
      <w:r w:rsidRPr="000C758A">
        <w:rPr>
          <w:rFonts w:cs="Arial"/>
          <w:sz w:val="20"/>
          <w:szCs w:val="20"/>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rsidR="006534C9" w:rsidRPr="00E06B71"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6"/>
          <w:szCs w:val="6"/>
        </w:rPr>
      </w:pPr>
    </w:p>
    <w:p w:rsidR="00263DD4" w:rsidRPr="000C758A" w:rsidRDefault="00263DD4"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Executive Order on Terrorism Financing</w:t>
      </w:r>
      <w:r w:rsidRPr="000C758A">
        <w:rPr>
          <w:rFonts w:cs="Arial"/>
          <w:sz w:val="20"/>
          <w:szCs w:val="20"/>
        </w:rPr>
        <w:t xml:space="preserve">- </w:t>
      </w:r>
      <w:r w:rsidR="00D71608" w:rsidRPr="000C758A">
        <w:rPr>
          <w:rFonts w:cs="Arial"/>
          <w:color w:val="000000"/>
          <w:sz w:val="20"/>
          <w:szCs w:val="20"/>
        </w:rPr>
        <w:t>the</w:t>
      </w:r>
      <w:r w:rsidRPr="000C758A">
        <w:rPr>
          <w:rFonts w:cs="Arial"/>
          <w:color w:val="000000"/>
          <w:sz w:val="20"/>
          <w:szCs w:val="20"/>
        </w:rPr>
        <w:t xml:space="preserv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w:t>
      </w:r>
      <w:r w:rsidR="00D71608" w:rsidRPr="000C758A">
        <w:rPr>
          <w:rFonts w:cs="Arial"/>
          <w:color w:val="000000"/>
          <w:sz w:val="20"/>
          <w:szCs w:val="20"/>
        </w:rPr>
        <w:t>individuals and</w:t>
      </w:r>
      <w:r w:rsidRPr="000C758A">
        <w:rPr>
          <w:rFonts w:cs="Arial"/>
          <w:color w:val="000000"/>
          <w:sz w:val="20"/>
          <w:szCs w:val="20"/>
        </w:rPr>
        <w:t xml:space="preserve"> organizations associated with terrorism. No support or resources may be provided to individuals or entities that appear on the Specially Designated Nationals and Blocked persons List maintained by the US Treasury (online at </w:t>
      </w:r>
      <w:hyperlink r:id="rId17" w:history="1">
        <w:r w:rsidRPr="000C758A">
          <w:rPr>
            <w:rStyle w:val="Hyperlink"/>
            <w:rFonts w:cs="Arial"/>
            <w:sz w:val="20"/>
            <w:szCs w:val="20"/>
          </w:rPr>
          <w:t>www.SAM.gov</w:t>
        </w:r>
      </w:hyperlink>
      <w:r w:rsidRPr="000C758A">
        <w:rPr>
          <w:rFonts w:cs="Arial"/>
          <w:color w:val="000000"/>
          <w:sz w:val="20"/>
          <w:szCs w:val="20"/>
        </w:rPr>
        <w:t>) or the United Nations Security Designation List (online at: http://www.un.org/sc/committees/1267/aq_sanctions_list.shtml).  This provision must be included in all subcontracts/sub awards issued under this Contract.</w:t>
      </w:r>
    </w:p>
    <w:p w:rsidR="00263DD4" w:rsidRPr="00E06B71" w:rsidRDefault="00263DD4" w:rsidP="00263DD4">
      <w:pPr>
        <w:pBdr>
          <w:top w:val="single" w:sz="4" w:space="1" w:color="auto"/>
          <w:left w:val="single" w:sz="4" w:space="4" w:color="auto"/>
          <w:bottom w:val="single" w:sz="4" w:space="1" w:color="auto"/>
          <w:right w:val="single" w:sz="4" w:space="4" w:color="auto"/>
        </w:pBdr>
        <w:spacing w:after="0"/>
        <w:ind w:left="360"/>
        <w:rPr>
          <w:rFonts w:cs="Arial"/>
          <w:sz w:val="8"/>
          <w:szCs w:val="8"/>
        </w:rPr>
      </w:pPr>
    </w:p>
    <w:p w:rsidR="00263DD4" w:rsidRPr="000C758A" w:rsidRDefault="00263DD4"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Trafficking of Persons</w:t>
      </w:r>
      <w:r w:rsidRPr="000C758A">
        <w:rPr>
          <w:rFonts w:cs="Arial"/>
          <w:sz w:val="20"/>
          <w:szCs w:val="20"/>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rsidR="006534C9" w:rsidRPr="00E06B71"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6"/>
          <w:szCs w:val="6"/>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bCs/>
          <w:sz w:val="20"/>
          <w:szCs w:val="20"/>
          <w:u w:val="single"/>
        </w:rPr>
        <w:t>Certification and Disclosure Regarding Payment to Influence Certain Federal Transactions</w:t>
      </w:r>
      <w:r w:rsidRPr="000C758A">
        <w:rPr>
          <w:rFonts w:cs="Arial"/>
          <w:sz w:val="20"/>
          <w:szCs w:val="20"/>
        </w:rPr>
        <w:t xml:space="preserve"> – The Bidder certifies that it currently is and will remain in compliance with FAR 52.203-11, </w:t>
      </w:r>
      <w:r w:rsidRPr="000C758A">
        <w:rPr>
          <w:rFonts w:cs="Arial"/>
          <w:sz w:val="20"/>
          <w:szCs w:val="20"/>
          <w:u w:val="single"/>
        </w:rPr>
        <w:t>Certification and Disclosure Regarding Payment to Influence Certain Federal Transactions</w:t>
      </w:r>
      <w:r w:rsidRPr="000C758A">
        <w:rPr>
          <w:rFonts w:cs="Arial"/>
          <w:sz w:val="20"/>
          <w:szCs w:val="20"/>
        </w:rPr>
        <w:t>.</w:t>
      </w:r>
    </w:p>
    <w:p w:rsidR="006534C9" w:rsidRPr="00E06B71"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10"/>
          <w:szCs w:val="10"/>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bCs/>
          <w:sz w:val="20"/>
          <w:szCs w:val="20"/>
          <w:u w:val="single"/>
        </w:rPr>
        <w:t>Organizational Conflict of Interest</w:t>
      </w:r>
      <w:r w:rsidRPr="000C758A">
        <w:rPr>
          <w:rFonts w:cs="Arial"/>
          <w:sz w:val="20"/>
          <w:szCs w:val="20"/>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rsidR="006534C9" w:rsidRPr="00E06B71"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14"/>
          <w:szCs w:val="14"/>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Prohibition of Segregated Facilities</w:t>
      </w:r>
      <w:r w:rsidRPr="000C758A">
        <w:rPr>
          <w:rFonts w:cs="Arial"/>
          <w:sz w:val="20"/>
          <w:szCs w:val="20"/>
        </w:rPr>
        <w:t xml:space="preserve"> - The Bidder certifies that it is compliant with FAR 52.222-21, Prohibition of Segregated Facilities.</w:t>
      </w:r>
    </w:p>
    <w:p w:rsidR="006534C9" w:rsidRPr="000C758A"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20"/>
          <w:szCs w:val="20"/>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Equal Opportunity</w:t>
      </w:r>
      <w:r w:rsidRPr="000C758A">
        <w:rPr>
          <w:rFonts w:cs="Arial"/>
          <w:sz w:val="20"/>
          <w:szCs w:val="20"/>
        </w:rPr>
        <w:t xml:space="preserve"> – The Bidder certifies that it does not discriminate against any employee or applicant for employment because of age, sex, religion, handicap, race, creed, color or national origin.</w:t>
      </w:r>
    </w:p>
    <w:p w:rsidR="006534C9" w:rsidRPr="000C758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cs="Arial"/>
          <w:sz w:val="20"/>
          <w:szCs w:val="20"/>
          <w:u w:val="single"/>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Labor Laws</w:t>
      </w:r>
      <w:r w:rsidRPr="000C758A">
        <w:rPr>
          <w:rFonts w:cs="Arial"/>
          <w:sz w:val="20"/>
          <w:szCs w:val="20"/>
        </w:rPr>
        <w:t xml:space="preserve"> – The Bidder certifies that it is in compliance with all labor laws..</w:t>
      </w:r>
    </w:p>
    <w:p w:rsidR="006534C9" w:rsidRPr="000C758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cs="Arial"/>
          <w:sz w:val="20"/>
          <w:szCs w:val="20"/>
          <w:u w:val="single"/>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Federal Acquisition Regulation (FAR)</w:t>
      </w:r>
      <w:r w:rsidRPr="000C758A">
        <w:rPr>
          <w:rFonts w:cs="Arial"/>
          <w:sz w:val="20"/>
          <w:szCs w:val="20"/>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rsidR="006534C9" w:rsidRPr="000C758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cs="Arial"/>
          <w:sz w:val="20"/>
          <w:szCs w:val="20"/>
          <w:u w:val="single"/>
        </w:rPr>
      </w:pPr>
    </w:p>
    <w:p w:rsidR="006534C9" w:rsidRPr="000C758A" w:rsidRDefault="006534C9" w:rsidP="005850CC">
      <w:pPr>
        <w:numPr>
          <w:ilvl w:val="0"/>
          <w:numId w:val="4"/>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Employee Compliance</w:t>
      </w:r>
      <w:r w:rsidRPr="000C758A">
        <w:rPr>
          <w:rFonts w:cs="Arial"/>
          <w:sz w:val="20"/>
          <w:szCs w:val="20"/>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rsidR="006534C9" w:rsidRPr="000C758A" w:rsidRDefault="006534C9" w:rsidP="006534C9">
      <w:pPr>
        <w:pBdr>
          <w:top w:val="single" w:sz="4" w:space="1" w:color="auto"/>
          <w:left w:val="single" w:sz="4" w:space="4" w:color="auto"/>
          <w:bottom w:val="single" w:sz="4" w:space="1" w:color="auto"/>
          <w:right w:val="single" w:sz="4" w:space="4" w:color="auto"/>
        </w:pBdr>
        <w:spacing w:after="0"/>
        <w:ind w:left="360"/>
        <w:rPr>
          <w:rFonts w:cs="Arial"/>
          <w:sz w:val="20"/>
          <w:szCs w:val="20"/>
        </w:rPr>
      </w:pPr>
    </w:p>
    <w:p w:rsidR="000F5279" w:rsidRPr="0063214C" w:rsidRDefault="006534C9" w:rsidP="0063214C">
      <w:pPr>
        <w:pStyle w:val="BodyText"/>
        <w:pBdr>
          <w:top w:val="single" w:sz="4" w:space="1" w:color="auto"/>
          <w:left w:val="single" w:sz="4" w:space="4" w:color="auto"/>
          <w:bottom w:val="single" w:sz="4" w:space="1" w:color="auto"/>
          <w:right w:val="single" w:sz="4" w:space="4" w:color="auto"/>
        </w:pBdr>
        <w:spacing w:after="0"/>
        <w:ind w:left="360"/>
        <w:rPr>
          <w:rFonts w:cs="Arial"/>
          <w:bCs/>
          <w:iCs/>
        </w:rPr>
      </w:pPr>
      <w:r w:rsidRPr="000C758A">
        <w:rPr>
          <w:rFonts w:cs="Arial"/>
          <w:bCs/>
          <w:iCs/>
        </w:rPr>
        <w:t>By s</w:t>
      </w:r>
      <w:r w:rsidR="00C32633" w:rsidRPr="000C758A">
        <w:rPr>
          <w:rFonts w:cs="Arial"/>
          <w:bCs/>
          <w:iCs/>
        </w:rPr>
        <w:t xml:space="preserve">ubmitting a </w:t>
      </w:r>
      <w:r w:rsidR="007C4557" w:rsidRPr="000C758A">
        <w:rPr>
          <w:rFonts w:cs="Arial"/>
          <w:bCs/>
          <w:iCs/>
        </w:rPr>
        <w:t>quote</w:t>
      </w:r>
      <w:r w:rsidR="00C32633" w:rsidRPr="000C758A">
        <w:rPr>
          <w:rFonts w:cs="Arial"/>
          <w:bCs/>
          <w:iCs/>
        </w:rPr>
        <w:t xml:space="preserve">, </w:t>
      </w:r>
      <w:r w:rsidR="00EF0879" w:rsidRPr="000C758A">
        <w:rPr>
          <w:rFonts w:cs="Arial"/>
          <w:bCs/>
          <w:iCs/>
        </w:rPr>
        <w:t xml:space="preserve">bidders </w:t>
      </w:r>
      <w:r w:rsidR="00C32633" w:rsidRPr="000C758A">
        <w:rPr>
          <w:rFonts w:cs="Arial"/>
          <w:bCs/>
          <w:iCs/>
        </w:rPr>
        <w:t>agree</w:t>
      </w:r>
      <w:r w:rsidRPr="000C758A">
        <w:rPr>
          <w:rFonts w:cs="Arial"/>
          <w:bCs/>
          <w:iCs/>
        </w:rPr>
        <w:t xml:space="preserve"> to fully comply with the terms and conditions above and all applicable U.S. federal government clauses included herein, and will be asked to sign these Representations and Certifications upon award. </w:t>
      </w:r>
    </w:p>
    <w:p w:rsidR="00F70D9C" w:rsidRPr="000C758A" w:rsidRDefault="00505C1E" w:rsidP="00E6575A">
      <w:pPr>
        <w:pStyle w:val="BodyText"/>
        <w:jc w:val="both"/>
        <w:rPr>
          <w:rFonts w:cs="Arial"/>
          <w:b/>
          <w:bCs/>
          <w:iCs/>
          <w:sz w:val="18"/>
          <w:szCs w:val="18"/>
        </w:rPr>
      </w:pPr>
      <w:r>
        <w:rPr>
          <w:rFonts w:cs="Arial"/>
          <w:b/>
          <w:bCs/>
          <w:iCs/>
          <w:sz w:val="18"/>
          <w:szCs w:val="18"/>
        </w:rPr>
        <w:t xml:space="preserve">      </w:t>
      </w:r>
      <w:r w:rsidR="00F70D9C" w:rsidRPr="000C758A">
        <w:rPr>
          <w:rFonts w:cs="Arial"/>
          <w:b/>
          <w:bCs/>
          <w:iCs/>
          <w:sz w:val="18"/>
          <w:szCs w:val="18"/>
        </w:rPr>
        <w:t>RADP-East SPECIAL CLAUSES</w:t>
      </w:r>
    </w:p>
    <w:p w:rsidR="00F70D9C" w:rsidRPr="000C758A" w:rsidRDefault="00F70D9C" w:rsidP="005850CC">
      <w:pPr>
        <w:pStyle w:val="BodyText"/>
        <w:numPr>
          <w:ilvl w:val="0"/>
          <w:numId w:val="5"/>
        </w:numPr>
        <w:jc w:val="both"/>
        <w:rPr>
          <w:rFonts w:cs="Arial"/>
          <w:bCs/>
          <w:iCs/>
          <w:sz w:val="18"/>
          <w:szCs w:val="18"/>
        </w:rPr>
      </w:pPr>
      <w:r w:rsidRPr="000C758A">
        <w:rPr>
          <w:rFonts w:cs="Arial"/>
          <w:bCs/>
          <w:iCs/>
          <w:sz w:val="18"/>
          <w:szCs w:val="18"/>
        </w:rPr>
        <w:lastRenderedPageBreak/>
        <w:t xml:space="preserve"> </w:t>
      </w:r>
      <w:r w:rsidRPr="000C758A">
        <w:rPr>
          <w:rFonts w:cs="Arial"/>
          <w:b/>
          <w:bCs/>
          <w:iCs/>
          <w:sz w:val="18"/>
          <w:szCs w:val="18"/>
        </w:rPr>
        <w:t xml:space="preserve">Authorized Geographic Code </w:t>
      </w:r>
    </w:p>
    <w:p w:rsidR="00F70D9C" w:rsidRPr="000C758A" w:rsidRDefault="00F70D9C" w:rsidP="00E6575A">
      <w:pPr>
        <w:pStyle w:val="BodyText"/>
        <w:jc w:val="both"/>
        <w:rPr>
          <w:rFonts w:cs="Arial"/>
          <w:bCs/>
          <w:iCs/>
        </w:rPr>
      </w:pPr>
      <w:r w:rsidRPr="000C758A">
        <w:rPr>
          <w:rFonts w:cs="Arial"/>
          <w:bCs/>
          <w:iCs/>
        </w:rPr>
        <w:t>The authorized geographic code for procurement of goods and services under this contract is 937. To support USAID activities and programs in Afghanistan a Source / Nationality waiver was signed by USAID Mission Director on June 22, 2016. This waiver is effective from July 24, 2016 through July 24, 2018, which permits procurement of goods and services from Geographic Code 935 for USAID programs and activities in Afghanistan.</w:t>
      </w:r>
    </w:p>
    <w:p w:rsidR="00F70D9C" w:rsidRPr="000C758A" w:rsidRDefault="00F70D9C" w:rsidP="005850CC">
      <w:pPr>
        <w:pStyle w:val="BodyText"/>
        <w:numPr>
          <w:ilvl w:val="0"/>
          <w:numId w:val="5"/>
        </w:numPr>
        <w:jc w:val="both"/>
        <w:rPr>
          <w:rFonts w:cs="Arial"/>
          <w:bCs/>
          <w:iCs/>
          <w:sz w:val="18"/>
          <w:szCs w:val="18"/>
        </w:rPr>
      </w:pPr>
      <w:r w:rsidRPr="000C758A">
        <w:rPr>
          <w:rFonts w:cs="Arial"/>
          <w:b/>
          <w:bCs/>
          <w:iCs/>
          <w:sz w:val="18"/>
          <w:szCs w:val="18"/>
        </w:rPr>
        <w:t>Insurance</w:t>
      </w:r>
    </w:p>
    <w:p w:rsidR="00F70D9C" w:rsidRPr="000C758A" w:rsidRDefault="00F70D9C" w:rsidP="00E6575A">
      <w:pPr>
        <w:pStyle w:val="BodyText"/>
        <w:jc w:val="both"/>
        <w:rPr>
          <w:rFonts w:cs="Arial"/>
          <w:bCs/>
          <w:iCs/>
        </w:rPr>
      </w:pPr>
      <w:r w:rsidRPr="000C758A">
        <w:rPr>
          <w:rFonts w:cs="Arial"/>
          <w:bCs/>
          <w:iCs/>
        </w:rPr>
        <w:t>The Vendor agrees that if DAI should legally incur any reasonable cost whatsoever resulting from the lack of the insurance aforementioned in Article 16, on the part of the Vendor while engaged in work, the Vendor will, to the extent permitted by applicable law, indemnify, and hold harmless DAI and the Client Organization from any such costs which they may legally be required to pay.</w:t>
      </w:r>
    </w:p>
    <w:p w:rsidR="00F70D9C" w:rsidRPr="000C758A" w:rsidRDefault="00F70D9C" w:rsidP="005850CC">
      <w:pPr>
        <w:pStyle w:val="BodyText"/>
        <w:numPr>
          <w:ilvl w:val="0"/>
          <w:numId w:val="5"/>
        </w:numPr>
        <w:jc w:val="both"/>
        <w:rPr>
          <w:rFonts w:cs="Arial"/>
          <w:b/>
          <w:bCs/>
          <w:iCs/>
          <w:sz w:val="18"/>
          <w:szCs w:val="18"/>
        </w:rPr>
      </w:pPr>
      <w:r w:rsidRPr="000C758A">
        <w:rPr>
          <w:rFonts w:cs="Arial"/>
          <w:b/>
          <w:bCs/>
          <w:iCs/>
          <w:sz w:val="18"/>
          <w:szCs w:val="18"/>
        </w:rPr>
        <w:t>Government Withholding Tax</w:t>
      </w:r>
    </w:p>
    <w:p w:rsidR="00F70D9C" w:rsidRPr="000C758A" w:rsidRDefault="00F70D9C" w:rsidP="00E6575A">
      <w:pPr>
        <w:pStyle w:val="BodyText"/>
        <w:jc w:val="both"/>
        <w:rPr>
          <w:rFonts w:cs="Arial"/>
          <w:bCs/>
          <w:iCs/>
        </w:rPr>
      </w:pPr>
      <w:r w:rsidRPr="000C758A">
        <w:rPr>
          <w:rFonts w:cs="Arial"/>
          <w:bCs/>
          <w:iCs/>
        </w:rPr>
        <w:t>Pursuant to Article 72 in the Afghanistan Tax Law effective March 21, 2009, DAI is required to withhold "contractor" taxes from the gross amounts payable to all Afghan for-profit subcontractors/vendors with aggregate amounts of $1,000.00 US Dollars or greater and transfer this to the Ministry of Finance. In accordance with this requirement, DAI shall withhold two percent (2%) tax from all gross invoices to Afghan subcontractors/vendors under this Agreement with active AISA or Ministry of Commerce license.  For subcontractors/vendors without active AISA or Ministry of Commerce license, DAI shall withhold seven percent (7%) "</w:t>
      </w:r>
      <w:r w:rsidR="009E16B4" w:rsidRPr="000C758A">
        <w:rPr>
          <w:rFonts w:cs="Arial"/>
          <w:bCs/>
          <w:iCs/>
        </w:rPr>
        <w:t>Contractor</w:t>
      </w:r>
      <w:r w:rsidRPr="000C758A">
        <w:rPr>
          <w:rFonts w:cs="Arial"/>
          <w:bCs/>
          <w:iCs/>
        </w:rPr>
        <w:t>" taxes per current Afghanistan Tax Law.</w:t>
      </w:r>
    </w:p>
    <w:p w:rsidR="00F70D9C" w:rsidRPr="000C758A" w:rsidRDefault="00F70D9C" w:rsidP="00E6575A">
      <w:pPr>
        <w:pStyle w:val="BodyText"/>
        <w:spacing w:after="0"/>
        <w:jc w:val="both"/>
        <w:rPr>
          <w:rFonts w:cs="Arial"/>
          <w:bCs/>
          <w:iCs/>
        </w:rPr>
      </w:pPr>
      <w:r w:rsidRPr="000C758A">
        <w:rPr>
          <w:rFonts w:cs="Arial"/>
          <w:bCs/>
          <w:iCs/>
        </w:rPr>
        <w:t>Before the signing of this Agreement, the subcontractor/vendor will provide a copy of the organization's AISA or Ministry of Commerce license and TIN (Tax Identification Number).   Amounts deducted from the invoices will be forwarded to the Ministry of Finance (MOF) Tax Division credited to the firm's TIN.  Records of payments to the MOF shall be maintained on file with DAI.</w:t>
      </w:r>
    </w:p>
    <w:p w:rsidR="00F70D9C" w:rsidRPr="000C758A" w:rsidRDefault="00F70D9C" w:rsidP="00E6575A">
      <w:pPr>
        <w:pStyle w:val="BodyText"/>
        <w:spacing w:after="0"/>
        <w:jc w:val="both"/>
        <w:rPr>
          <w:rFonts w:cs="Arial"/>
          <w:bCs/>
          <w:iCs/>
          <w:sz w:val="18"/>
          <w:szCs w:val="18"/>
        </w:rPr>
      </w:pPr>
    </w:p>
    <w:p w:rsidR="00F70D9C" w:rsidRPr="000C758A" w:rsidRDefault="00F70D9C" w:rsidP="005850CC">
      <w:pPr>
        <w:pStyle w:val="BodyText"/>
        <w:numPr>
          <w:ilvl w:val="0"/>
          <w:numId w:val="5"/>
        </w:numPr>
        <w:jc w:val="both"/>
        <w:rPr>
          <w:rFonts w:cs="Arial"/>
          <w:b/>
          <w:bCs/>
          <w:iCs/>
          <w:sz w:val="18"/>
          <w:szCs w:val="18"/>
        </w:rPr>
      </w:pPr>
      <w:r w:rsidRPr="000C758A">
        <w:rPr>
          <w:rFonts w:cs="Arial"/>
          <w:b/>
          <w:bCs/>
          <w:iCs/>
          <w:sz w:val="18"/>
          <w:szCs w:val="18"/>
        </w:rPr>
        <w:t>Executive Order on Terrorism Financing</w:t>
      </w:r>
    </w:p>
    <w:p w:rsidR="00F70D9C" w:rsidRPr="000C758A" w:rsidRDefault="00F70D9C" w:rsidP="00E6575A">
      <w:pPr>
        <w:pStyle w:val="BodyText"/>
        <w:jc w:val="both"/>
        <w:rPr>
          <w:rFonts w:cs="Arial"/>
          <w:bCs/>
          <w:iCs/>
        </w:rPr>
      </w:pPr>
      <w:r w:rsidRPr="000C758A">
        <w:rPr>
          <w:rFonts w:cs="Arial"/>
          <w:bCs/>
          <w:iCs/>
        </w:rPr>
        <w:t>The Contractor is reminded that U.S. Executive Orders (including E.O. 13224) and U.S. law prohibit transactions with, and the provision of resources and support to, individuals and organizations associated with terrorism</w:t>
      </w:r>
      <w:r w:rsidRPr="000C758A">
        <w:rPr>
          <w:rFonts w:cs="Arial"/>
          <w:b/>
          <w:bCs/>
          <w:iCs/>
        </w:rPr>
        <w:t xml:space="preserve">. </w:t>
      </w:r>
      <w:r w:rsidRPr="000C758A">
        <w:rPr>
          <w:rFonts w:cs="Arial"/>
          <w:bCs/>
          <w:iCs/>
        </w:rPr>
        <w:t>FAR 25.701 prohibits agencies and their contractors and subcontractors from acquiring any supplies or services from individuals or organizations, if any proclamation, Executive Order, Office of Foreign Assets Control (OFAC) regulations, or statute administered by OFAC would prohibit such a transaction. Accordingly, the Contracting Officer must check the U.S. Department of the Treasury’s OFAC List to ensure that the names of the Contractor and proposed subcontractors (and individuals from those organizations who have been made known to them), are not on the list. Mandatory FAR clause 52.225-13 Restrictions on Certain Foreign Purchases is included by reference in Section I.1 of this contract.</w:t>
      </w:r>
    </w:p>
    <w:p w:rsidR="00F70D9C" w:rsidRDefault="00F70D9C" w:rsidP="00E6575A">
      <w:pPr>
        <w:pStyle w:val="BodyText"/>
        <w:jc w:val="both"/>
        <w:rPr>
          <w:rFonts w:cs="Arial"/>
          <w:bCs/>
          <w:iCs/>
        </w:rPr>
      </w:pPr>
      <w:r w:rsidRPr="000C758A">
        <w:rPr>
          <w:rFonts w:cs="Arial"/>
          <w:bCs/>
          <w:iCs/>
        </w:rPr>
        <w:t>By accepting the contract, the Contractor acknowledges and agrees that it is aware of the list as part of its compliance with the requirements of that clause. This clause must be included in all subcontracts/sub-awards issued under the contract.</w:t>
      </w:r>
    </w:p>
    <w:p w:rsidR="00F70D9C" w:rsidRPr="000C758A" w:rsidRDefault="00F70D9C" w:rsidP="00E6575A">
      <w:pPr>
        <w:pStyle w:val="BodyText"/>
        <w:jc w:val="both"/>
        <w:rPr>
          <w:rFonts w:cs="Arial"/>
          <w:b/>
          <w:bCs/>
          <w:iCs/>
          <w:sz w:val="18"/>
          <w:szCs w:val="18"/>
        </w:rPr>
      </w:pPr>
      <w:r w:rsidRPr="000C758A">
        <w:rPr>
          <w:rFonts w:cs="Arial"/>
          <w:b/>
          <w:bCs/>
          <w:iCs/>
          <w:sz w:val="18"/>
          <w:szCs w:val="18"/>
        </w:rPr>
        <w:t>5.   Subcontracting Requirements (JAN 2012)</w:t>
      </w:r>
    </w:p>
    <w:p w:rsidR="00F70D9C" w:rsidRDefault="00F70D9C" w:rsidP="00E6575A">
      <w:pPr>
        <w:pStyle w:val="BodyText"/>
        <w:jc w:val="both"/>
        <w:rPr>
          <w:rFonts w:cs="Arial"/>
          <w:bCs/>
          <w:iCs/>
        </w:rPr>
      </w:pPr>
      <w:r w:rsidRPr="000C758A">
        <w:rPr>
          <w:rFonts w:cs="Arial"/>
          <w:bCs/>
          <w:iCs/>
        </w:rPr>
        <w:t>(a) Applicability: This section limits the number of tiers of sub-contracts to one tiers below the Vendor. The Vendor must not allow lower-tier subcontracts without the express written approval DAI. Should exceptional circumstances warrant subcontracting below one tier, the Vendor shall promptly request approval in writing from DAI. The Vendor shall include this clause in all subcontracts, and shall require subcontractors to include this clause in all lower-tier subcontracts. The Vendor shall be responsible for compliance with this clause by all subcontractors and lower-tier subcontractors.</w:t>
      </w:r>
    </w:p>
    <w:p w:rsidR="00CD3B76" w:rsidRPr="000C758A" w:rsidRDefault="00CD3B76" w:rsidP="00E6575A">
      <w:pPr>
        <w:pStyle w:val="BodyText"/>
        <w:jc w:val="both"/>
        <w:rPr>
          <w:rFonts w:cs="Arial"/>
          <w:bCs/>
          <w:iCs/>
        </w:rPr>
      </w:pPr>
    </w:p>
    <w:p w:rsidR="00F70D9C" w:rsidRPr="000C758A" w:rsidRDefault="00F70D9C" w:rsidP="005850CC">
      <w:pPr>
        <w:pStyle w:val="BodyText"/>
        <w:numPr>
          <w:ilvl w:val="0"/>
          <w:numId w:val="6"/>
        </w:numPr>
        <w:jc w:val="both"/>
        <w:rPr>
          <w:rFonts w:cs="Arial"/>
          <w:b/>
          <w:bCs/>
          <w:iCs/>
          <w:sz w:val="18"/>
          <w:szCs w:val="18"/>
        </w:rPr>
      </w:pPr>
      <w:r w:rsidRPr="000C758A">
        <w:rPr>
          <w:rFonts w:cs="Arial"/>
          <w:b/>
          <w:bCs/>
          <w:iCs/>
          <w:sz w:val="18"/>
          <w:szCs w:val="18"/>
        </w:rPr>
        <w:t>Combating Trafficking in Persons (MAR 2015)</w:t>
      </w:r>
    </w:p>
    <w:p w:rsidR="00F70D9C" w:rsidRPr="000C758A" w:rsidRDefault="00F70D9C" w:rsidP="00E6575A">
      <w:pPr>
        <w:pStyle w:val="BodyText"/>
        <w:jc w:val="both"/>
        <w:rPr>
          <w:rFonts w:cs="Arial"/>
          <w:bCs/>
          <w:iCs/>
        </w:rPr>
      </w:pPr>
      <w:r w:rsidRPr="000C758A">
        <w:rPr>
          <w:rFonts w:cs="Arial"/>
          <w:bCs/>
          <w:iCs/>
        </w:rPr>
        <w:lastRenderedPageBreak/>
        <w:t xml:space="preserve">(a) Definitions. As used in this clause— </w:t>
      </w:r>
    </w:p>
    <w:p w:rsidR="00F70D9C" w:rsidRPr="000C758A" w:rsidRDefault="00F70D9C" w:rsidP="00E6575A">
      <w:pPr>
        <w:pStyle w:val="BodyText"/>
        <w:jc w:val="both"/>
        <w:rPr>
          <w:rFonts w:cs="Arial"/>
          <w:bCs/>
          <w:iCs/>
        </w:rPr>
      </w:pPr>
      <w:r w:rsidRPr="000C758A">
        <w:rPr>
          <w:rFonts w:cs="Arial"/>
          <w:bCs/>
          <w:iCs/>
        </w:rPr>
        <w:t>“Agent” means any individual, including a director, an officer, an employee, or an independent contractor, authorized to act on behalf of the organization.</w:t>
      </w:r>
    </w:p>
    <w:p w:rsidR="00F70D9C" w:rsidRPr="000C758A" w:rsidRDefault="00F70D9C" w:rsidP="00E6575A">
      <w:pPr>
        <w:pStyle w:val="BodyText"/>
        <w:jc w:val="both"/>
        <w:rPr>
          <w:rFonts w:cs="Arial"/>
          <w:bCs/>
          <w:iCs/>
        </w:rPr>
      </w:pPr>
      <w:r w:rsidRPr="000C758A">
        <w:rPr>
          <w:rFonts w:cs="Arial"/>
          <w:bCs/>
          <w:iCs/>
        </w:rPr>
        <w:t>“Coercion” means—</w:t>
      </w:r>
    </w:p>
    <w:p w:rsidR="00F70D9C" w:rsidRPr="000C758A" w:rsidRDefault="00F70D9C" w:rsidP="00E6575A">
      <w:pPr>
        <w:pStyle w:val="BodyText"/>
        <w:jc w:val="both"/>
        <w:rPr>
          <w:rFonts w:cs="Arial"/>
          <w:bCs/>
          <w:iCs/>
        </w:rPr>
      </w:pPr>
      <w:r w:rsidRPr="000C758A">
        <w:rPr>
          <w:rFonts w:cs="Arial"/>
          <w:bCs/>
          <w:iCs/>
        </w:rPr>
        <w:t>(1) Threats of serious harm to or physical restraint against any person;</w:t>
      </w:r>
    </w:p>
    <w:p w:rsidR="00F70D9C" w:rsidRPr="000C758A" w:rsidRDefault="00F70D9C" w:rsidP="00E6575A">
      <w:pPr>
        <w:pStyle w:val="BodyText"/>
        <w:jc w:val="both"/>
        <w:rPr>
          <w:rFonts w:cs="Arial"/>
          <w:bCs/>
          <w:iCs/>
        </w:rPr>
      </w:pPr>
      <w:r w:rsidRPr="000C758A">
        <w:rPr>
          <w:rFonts w:cs="Arial"/>
          <w:bCs/>
          <w:iCs/>
        </w:rPr>
        <w:t>(2) Any scheme, plan, or pattern intended to cause a person to believe that failure to perform an act would result in serious harm to or physical restraint against any person; or</w:t>
      </w:r>
    </w:p>
    <w:p w:rsidR="00F70D9C" w:rsidRPr="000C758A" w:rsidRDefault="00F70D9C" w:rsidP="00E6575A">
      <w:pPr>
        <w:pStyle w:val="BodyText"/>
        <w:jc w:val="both"/>
        <w:rPr>
          <w:rFonts w:cs="Arial"/>
          <w:bCs/>
          <w:iCs/>
        </w:rPr>
      </w:pPr>
      <w:r w:rsidRPr="000C758A">
        <w:rPr>
          <w:rFonts w:cs="Arial"/>
          <w:bCs/>
          <w:iCs/>
        </w:rPr>
        <w:t>(3) The abuse or threatened abuse of the legal process.</w:t>
      </w:r>
    </w:p>
    <w:p w:rsidR="00F70D9C" w:rsidRPr="000C758A" w:rsidRDefault="00F70D9C" w:rsidP="00E6575A">
      <w:pPr>
        <w:pStyle w:val="BodyText"/>
        <w:jc w:val="both"/>
        <w:rPr>
          <w:rFonts w:cs="Arial"/>
          <w:bCs/>
          <w:iCs/>
        </w:rPr>
      </w:pPr>
      <w:r w:rsidRPr="000C758A">
        <w:rPr>
          <w:rFonts w:cs="Arial"/>
          <w:bCs/>
          <w:iCs/>
        </w:rPr>
        <w:t>“Commercially available off-the-shelf (COTS) item” means—</w:t>
      </w:r>
    </w:p>
    <w:p w:rsidR="00F70D9C" w:rsidRPr="000C758A" w:rsidRDefault="00F70D9C" w:rsidP="00E6575A">
      <w:pPr>
        <w:pStyle w:val="BodyText"/>
        <w:jc w:val="both"/>
        <w:rPr>
          <w:rFonts w:cs="Arial"/>
          <w:bCs/>
          <w:iCs/>
        </w:rPr>
      </w:pPr>
      <w:r w:rsidRPr="000C758A">
        <w:rPr>
          <w:rFonts w:cs="Arial"/>
          <w:bCs/>
          <w:iCs/>
        </w:rPr>
        <w:t>(1) Any item of supply (including construction material) that is—</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A commercial item (as defined in paragraph (1) of the definition at FAR </w:t>
      </w:r>
      <w:hyperlink r:id="rId18" w:anchor="wp1145508" w:history="1">
        <w:r w:rsidRPr="000C758A">
          <w:rPr>
            <w:rStyle w:val="Hyperlink"/>
            <w:rFonts w:cs="Arial"/>
            <w:bCs/>
            <w:iCs/>
          </w:rPr>
          <w:t>2.101</w:t>
        </w:r>
      </w:hyperlink>
      <w:r w:rsidRPr="000C758A">
        <w:rPr>
          <w:rFonts w:cs="Arial"/>
          <w:bCs/>
          <w:iCs/>
        </w:rPr>
        <w:t xml:space="preserve">); </w:t>
      </w:r>
    </w:p>
    <w:p w:rsidR="00F70D9C" w:rsidRPr="000C758A" w:rsidRDefault="00F70D9C" w:rsidP="00E6575A">
      <w:pPr>
        <w:pStyle w:val="BodyText"/>
        <w:jc w:val="both"/>
        <w:rPr>
          <w:rFonts w:cs="Arial"/>
          <w:bCs/>
          <w:iCs/>
        </w:rPr>
      </w:pPr>
      <w:r w:rsidRPr="000C758A">
        <w:rPr>
          <w:rFonts w:cs="Arial"/>
          <w:bCs/>
          <w:iCs/>
        </w:rPr>
        <w:t>(ii) Sold in substantial quantities in the commercial marketplace; and</w:t>
      </w:r>
    </w:p>
    <w:p w:rsidR="00F70D9C" w:rsidRPr="000C758A" w:rsidRDefault="00F70D9C" w:rsidP="00E6575A">
      <w:pPr>
        <w:pStyle w:val="BodyText"/>
        <w:jc w:val="both"/>
        <w:rPr>
          <w:rFonts w:cs="Arial"/>
          <w:bCs/>
          <w:iCs/>
        </w:rPr>
      </w:pPr>
      <w:r w:rsidRPr="000C758A">
        <w:rPr>
          <w:rFonts w:cs="Arial"/>
          <w:bCs/>
          <w:iCs/>
        </w:rPr>
        <w:t>(iii) Offered to the Government, under a contract or subcontract at any tier, without modification, in the same form in which it is sold in the commercial marketplace; and</w:t>
      </w:r>
    </w:p>
    <w:p w:rsidR="00F70D9C" w:rsidRPr="000C758A" w:rsidRDefault="00F70D9C" w:rsidP="00E6575A">
      <w:pPr>
        <w:pStyle w:val="BodyText"/>
        <w:jc w:val="both"/>
        <w:rPr>
          <w:rFonts w:cs="Arial"/>
          <w:bCs/>
          <w:iCs/>
        </w:rPr>
      </w:pPr>
      <w:r w:rsidRPr="000C758A">
        <w:rPr>
          <w:rFonts w:cs="Arial"/>
          <w:bCs/>
          <w:iCs/>
        </w:rPr>
        <w:t xml:space="preserve">(2) Does not include bulk cargo, as defined in </w:t>
      </w:r>
      <w:hyperlink r:id="rId19" w:history="1">
        <w:r w:rsidRPr="000C758A">
          <w:rPr>
            <w:rStyle w:val="Hyperlink"/>
            <w:rFonts w:cs="Arial"/>
            <w:bCs/>
            <w:iCs/>
          </w:rPr>
          <w:t>http://uscode.house.gov/</w:t>
        </w:r>
      </w:hyperlink>
      <w:hyperlink r:id="rId20" w:history="1">
        <w:r w:rsidRPr="000C758A">
          <w:rPr>
            <w:rStyle w:val="Hyperlink"/>
            <w:rFonts w:cs="Arial"/>
            <w:bCs/>
            <w:iCs/>
          </w:rPr>
          <w:t>http://uscode.house.gov/</w:t>
        </w:r>
      </w:hyperlink>
      <w:r w:rsidRPr="000C758A">
        <w:rPr>
          <w:rFonts w:cs="Arial"/>
          <w:bCs/>
          <w:iCs/>
        </w:rPr>
        <w:t xml:space="preserve">46 U.S.C. 40102(4), such as agricultural products and petroleum products. </w:t>
      </w:r>
    </w:p>
    <w:p w:rsidR="00F70D9C" w:rsidRPr="000C758A" w:rsidRDefault="00F70D9C" w:rsidP="00E6575A">
      <w:pPr>
        <w:pStyle w:val="BodyText"/>
        <w:jc w:val="both"/>
        <w:rPr>
          <w:rFonts w:cs="Arial"/>
          <w:bCs/>
          <w:iCs/>
        </w:rPr>
      </w:pPr>
      <w:r w:rsidRPr="000C758A">
        <w:rPr>
          <w:rFonts w:cs="Arial"/>
          <w:bCs/>
          <w:iCs/>
        </w:rPr>
        <w:t>“Commercial sex act” means any sex act on account of which anything of value is given to or received by any person.</w:t>
      </w:r>
    </w:p>
    <w:p w:rsidR="00F70D9C" w:rsidRPr="000C758A" w:rsidRDefault="00F70D9C" w:rsidP="00E6575A">
      <w:pPr>
        <w:pStyle w:val="BodyText"/>
        <w:jc w:val="both"/>
        <w:rPr>
          <w:rFonts w:cs="Arial"/>
          <w:bCs/>
          <w:iCs/>
        </w:rPr>
      </w:pPr>
      <w:r w:rsidRPr="000C758A">
        <w:rPr>
          <w:rFonts w:cs="Arial"/>
          <w:bCs/>
          <w:iCs/>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70D9C" w:rsidRPr="000C758A" w:rsidRDefault="00F70D9C" w:rsidP="00E6575A">
      <w:pPr>
        <w:pStyle w:val="BodyText"/>
        <w:jc w:val="both"/>
        <w:rPr>
          <w:rFonts w:cs="Arial"/>
          <w:bCs/>
          <w:iCs/>
        </w:rPr>
      </w:pPr>
      <w:r w:rsidRPr="000C758A">
        <w:rPr>
          <w:rFonts w:cs="Arial"/>
          <w:bCs/>
          <w:iCs/>
        </w:rPr>
        <w:t>“Employee” means an employee of the Contractor directly engaged in the performance of work under the contract who has other than a minimal impact or involvement in contract performance.</w:t>
      </w:r>
    </w:p>
    <w:p w:rsidR="00F70D9C" w:rsidRPr="000C758A" w:rsidRDefault="00F70D9C" w:rsidP="00E6575A">
      <w:pPr>
        <w:pStyle w:val="BodyText"/>
        <w:jc w:val="both"/>
        <w:rPr>
          <w:rFonts w:cs="Arial"/>
          <w:bCs/>
          <w:iCs/>
        </w:rPr>
      </w:pPr>
      <w:r w:rsidRPr="000C758A">
        <w:rPr>
          <w:rFonts w:cs="Arial"/>
          <w:bCs/>
          <w:iCs/>
        </w:rPr>
        <w:t>“Forced Labor” means knowingly providing or obtaining the labor or services of a person—</w:t>
      </w:r>
    </w:p>
    <w:p w:rsidR="00F70D9C" w:rsidRPr="000C758A" w:rsidRDefault="00F70D9C" w:rsidP="00E6575A">
      <w:pPr>
        <w:pStyle w:val="BodyText"/>
        <w:jc w:val="both"/>
        <w:rPr>
          <w:rFonts w:cs="Arial"/>
          <w:bCs/>
          <w:iCs/>
        </w:rPr>
      </w:pPr>
      <w:r w:rsidRPr="000C758A">
        <w:rPr>
          <w:rFonts w:cs="Arial"/>
          <w:bCs/>
          <w:iCs/>
        </w:rPr>
        <w:t>(1) By threats of serious harm to, or physical restraint against, that person or another person;</w:t>
      </w:r>
    </w:p>
    <w:p w:rsidR="00F70D9C" w:rsidRPr="000C758A" w:rsidRDefault="00F70D9C" w:rsidP="00E6575A">
      <w:pPr>
        <w:pStyle w:val="BodyText"/>
        <w:jc w:val="both"/>
        <w:rPr>
          <w:rFonts w:cs="Arial"/>
          <w:bCs/>
          <w:iCs/>
        </w:rPr>
      </w:pPr>
      <w:r w:rsidRPr="000C758A">
        <w:rPr>
          <w:rFonts w:cs="Arial"/>
          <w:bCs/>
          <w:iCs/>
        </w:rPr>
        <w:t>(2) By means of any scheme, plan, or pattern intended to cause the person to believe that, if the person did not perform such labor or services, that person or another person would suffer serious harm or physical restraint; or</w:t>
      </w:r>
    </w:p>
    <w:p w:rsidR="00F70D9C" w:rsidRPr="000C758A" w:rsidRDefault="00F70D9C" w:rsidP="00E6575A">
      <w:pPr>
        <w:pStyle w:val="BodyText"/>
        <w:jc w:val="both"/>
        <w:rPr>
          <w:rFonts w:cs="Arial"/>
          <w:bCs/>
          <w:iCs/>
        </w:rPr>
      </w:pPr>
      <w:r w:rsidRPr="000C758A">
        <w:rPr>
          <w:rFonts w:cs="Arial"/>
          <w:bCs/>
          <w:iCs/>
        </w:rPr>
        <w:t>(3) By means of the abuse or threatened abuse of law or the legal process.</w:t>
      </w:r>
    </w:p>
    <w:p w:rsidR="00F70D9C" w:rsidRPr="000C758A" w:rsidRDefault="00F70D9C" w:rsidP="00E6575A">
      <w:pPr>
        <w:pStyle w:val="BodyText"/>
        <w:jc w:val="both"/>
        <w:rPr>
          <w:rFonts w:cs="Arial"/>
          <w:bCs/>
          <w:iCs/>
        </w:rPr>
      </w:pPr>
      <w:r w:rsidRPr="000C758A">
        <w:rPr>
          <w:rFonts w:cs="Arial"/>
          <w:bCs/>
          <w:iCs/>
        </w:rPr>
        <w:t>“Involuntary servitude” includes a condition of servitude induced by means of—</w:t>
      </w:r>
    </w:p>
    <w:p w:rsidR="00F70D9C" w:rsidRPr="000C758A" w:rsidRDefault="00F70D9C" w:rsidP="00E6575A">
      <w:pPr>
        <w:pStyle w:val="BodyText"/>
        <w:jc w:val="both"/>
        <w:rPr>
          <w:rFonts w:cs="Arial"/>
          <w:bCs/>
          <w:iCs/>
        </w:rPr>
      </w:pPr>
      <w:r w:rsidRPr="000C758A">
        <w:rPr>
          <w:rFonts w:cs="Arial"/>
          <w:bCs/>
          <w:iCs/>
        </w:rPr>
        <w:t>(1) Any scheme, plan, or pattern intended to cause a person to believe that, if the person did not enter into or continue in such conditions, that person or another person would suffer serious harm or physical restraint; or</w:t>
      </w:r>
    </w:p>
    <w:p w:rsidR="00F70D9C" w:rsidRPr="000C758A" w:rsidRDefault="00F70D9C" w:rsidP="00E6575A">
      <w:pPr>
        <w:pStyle w:val="BodyText"/>
        <w:jc w:val="both"/>
        <w:rPr>
          <w:rFonts w:cs="Arial"/>
          <w:bCs/>
          <w:iCs/>
        </w:rPr>
      </w:pPr>
      <w:r w:rsidRPr="000C758A">
        <w:rPr>
          <w:rFonts w:cs="Arial"/>
          <w:bCs/>
          <w:iCs/>
        </w:rPr>
        <w:t>(2) The abuse or threatened abuse of the legal process.</w:t>
      </w:r>
    </w:p>
    <w:p w:rsidR="00F70D9C" w:rsidRPr="000C758A" w:rsidRDefault="00F70D9C" w:rsidP="00E6575A">
      <w:pPr>
        <w:pStyle w:val="BodyText"/>
        <w:jc w:val="both"/>
        <w:rPr>
          <w:rFonts w:cs="Arial"/>
          <w:bCs/>
          <w:iCs/>
        </w:rPr>
      </w:pPr>
      <w:r w:rsidRPr="000C758A">
        <w:rPr>
          <w:rFonts w:cs="Arial"/>
          <w:bCs/>
          <w:iCs/>
        </w:rPr>
        <w:lastRenderedPageBreak/>
        <w:t>“Severe forms of trafficking in persons” means—</w:t>
      </w:r>
    </w:p>
    <w:p w:rsidR="00F70D9C" w:rsidRPr="000C758A" w:rsidRDefault="00F70D9C" w:rsidP="00E6575A">
      <w:pPr>
        <w:pStyle w:val="BodyText"/>
        <w:jc w:val="both"/>
        <w:rPr>
          <w:rFonts w:cs="Arial"/>
          <w:bCs/>
          <w:iCs/>
        </w:rPr>
      </w:pPr>
      <w:r w:rsidRPr="000C758A">
        <w:rPr>
          <w:rFonts w:cs="Arial"/>
          <w:bCs/>
          <w:iCs/>
        </w:rPr>
        <w:t>(1) Sex trafficking in which a commercial sex act is induced by force, fraud, or coercion, or in which the person induced to perform such act has not attained 18 years of age; or</w:t>
      </w:r>
    </w:p>
    <w:p w:rsidR="00F70D9C" w:rsidRPr="000C758A" w:rsidRDefault="00F70D9C" w:rsidP="00E6575A">
      <w:pPr>
        <w:pStyle w:val="BodyText"/>
        <w:jc w:val="both"/>
        <w:rPr>
          <w:rFonts w:cs="Arial"/>
          <w:bCs/>
          <w:iCs/>
        </w:rPr>
      </w:pPr>
      <w:r w:rsidRPr="000C758A">
        <w:rPr>
          <w:rFonts w:cs="Arial"/>
          <w:bCs/>
          <w:iCs/>
        </w:rPr>
        <w:t>(2) The recruitment, harboring, transportation, provision, or obtaining of a person for labor or services, through the use of force, fraud, or coercion for the purpose of subjection to involuntary servitude, peonage, debt bondage, or slavery.</w:t>
      </w:r>
    </w:p>
    <w:p w:rsidR="00F70D9C" w:rsidRPr="000C758A" w:rsidRDefault="00F70D9C" w:rsidP="00E6575A">
      <w:pPr>
        <w:pStyle w:val="BodyText"/>
        <w:jc w:val="both"/>
        <w:rPr>
          <w:rFonts w:cs="Arial"/>
          <w:bCs/>
          <w:iCs/>
        </w:rPr>
      </w:pPr>
      <w:r w:rsidRPr="000C758A">
        <w:rPr>
          <w:rFonts w:cs="Arial"/>
          <w:bCs/>
          <w:iCs/>
        </w:rPr>
        <w:t>“Sex trafficking” means the recruitment, harboring, transportation, provision, or obtaining of a person for the purpose of a commercial sex act.</w:t>
      </w:r>
    </w:p>
    <w:p w:rsidR="00F70D9C" w:rsidRPr="000C758A" w:rsidRDefault="00F70D9C" w:rsidP="00E6575A">
      <w:pPr>
        <w:pStyle w:val="BodyText"/>
        <w:jc w:val="both"/>
        <w:rPr>
          <w:rFonts w:cs="Arial"/>
          <w:bCs/>
          <w:iCs/>
        </w:rPr>
      </w:pPr>
      <w:r w:rsidRPr="000C758A">
        <w:rPr>
          <w:rFonts w:cs="Arial"/>
          <w:bCs/>
          <w:iCs/>
        </w:rPr>
        <w:t>“Subcontract” means any contract entered into by a subcontractor to furnish supplies or services for performance of a prime contract or a subcontract.</w:t>
      </w:r>
    </w:p>
    <w:p w:rsidR="00F70D9C" w:rsidRPr="000C758A" w:rsidRDefault="00F70D9C" w:rsidP="00E6575A">
      <w:pPr>
        <w:pStyle w:val="BodyText"/>
        <w:jc w:val="both"/>
        <w:rPr>
          <w:rFonts w:cs="Arial"/>
          <w:bCs/>
          <w:iCs/>
        </w:rPr>
      </w:pPr>
      <w:r w:rsidRPr="000C758A">
        <w:rPr>
          <w:rFonts w:cs="Arial"/>
          <w:bCs/>
          <w:iCs/>
        </w:rPr>
        <w:t>“Subcontractor” means any supplier, distributor, vendor, or firm that furnishes supplies or services to or for a prime contractor or another subcontractor.</w:t>
      </w:r>
    </w:p>
    <w:p w:rsidR="00F70D9C" w:rsidRPr="000C758A" w:rsidRDefault="00F70D9C" w:rsidP="00E6575A">
      <w:pPr>
        <w:pStyle w:val="BodyText"/>
        <w:jc w:val="both"/>
        <w:rPr>
          <w:rFonts w:cs="Arial"/>
          <w:bCs/>
          <w:iCs/>
        </w:rPr>
      </w:pPr>
      <w:r w:rsidRPr="000C758A">
        <w:rPr>
          <w:rFonts w:cs="Arial"/>
          <w:bCs/>
          <w:iCs/>
        </w:rPr>
        <w:t>“United States” means the 50 States, the District of Columbia, and outlying areas.</w:t>
      </w:r>
    </w:p>
    <w:p w:rsidR="00F70D9C" w:rsidRPr="000C758A" w:rsidRDefault="00F70D9C" w:rsidP="00E6575A">
      <w:pPr>
        <w:pStyle w:val="BodyText"/>
        <w:jc w:val="both"/>
        <w:rPr>
          <w:rFonts w:cs="Arial"/>
          <w:bCs/>
          <w:iCs/>
        </w:rPr>
      </w:pPr>
      <w:r w:rsidRPr="000C758A">
        <w:rPr>
          <w:rFonts w:cs="Arial"/>
          <w:bCs/>
          <w:iCs/>
        </w:rPr>
        <w:t xml:space="preserve">(b) Policy. The United States Government has adopted a policy prohibiting trafficking in persons including the trafficking-related activities of this clause. Contractors, contractor employees, and their agents shall not— </w:t>
      </w:r>
    </w:p>
    <w:p w:rsidR="00F70D9C" w:rsidRPr="000C758A" w:rsidRDefault="00F70D9C" w:rsidP="00E6575A">
      <w:pPr>
        <w:pStyle w:val="BodyText"/>
        <w:jc w:val="both"/>
        <w:rPr>
          <w:rFonts w:cs="Arial"/>
          <w:bCs/>
          <w:iCs/>
        </w:rPr>
      </w:pPr>
      <w:r w:rsidRPr="000C758A">
        <w:rPr>
          <w:rFonts w:cs="Arial"/>
          <w:bCs/>
          <w:iCs/>
        </w:rPr>
        <w:t>(1) Engage in severe forms of trafficking in persons during the period of performance of the contract;</w:t>
      </w:r>
    </w:p>
    <w:p w:rsidR="00F70D9C" w:rsidRPr="000C758A" w:rsidRDefault="00F70D9C" w:rsidP="00E6575A">
      <w:pPr>
        <w:pStyle w:val="BodyText"/>
        <w:jc w:val="both"/>
        <w:rPr>
          <w:rFonts w:cs="Arial"/>
          <w:bCs/>
          <w:iCs/>
        </w:rPr>
      </w:pPr>
      <w:r w:rsidRPr="000C758A">
        <w:rPr>
          <w:rFonts w:cs="Arial"/>
          <w:bCs/>
          <w:iCs/>
        </w:rPr>
        <w:t>(2) Procure commercial sex acts during the period of performance of the contract;</w:t>
      </w:r>
    </w:p>
    <w:p w:rsidR="00F70D9C" w:rsidRPr="000C758A" w:rsidRDefault="00F70D9C" w:rsidP="00E6575A">
      <w:pPr>
        <w:pStyle w:val="BodyText"/>
        <w:jc w:val="both"/>
        <w:rPr>
          <w:rFonts w:cs="Arial"/>
          <w:bCs/>
          <w:iCs/>
        </w:rPr>
      </w:pPr>
      <w:r w:rsidRPr="000C758A">
        <w:rPr>
          <w:rFonts w:cs="Arial"/>
          <w:bCs/>
          <w:iCs/>
        </w:rPr>
        <w:t>(3) Use forced labor in the performance of the contract;</w:t>
      </w:r>
    </w:p>
    <w:p w:rsidR="00F70D9C" w:rsidRPr="000C758A" w:rsidRDefault="00F70D9C" w:rsidP="00E6575A">
      <w:pPr>
        <w:pStyle w:val="BodyText"/>
        <w:jc w:val="both"/>
        <w:rPr>
          <w:rFonts w:cs="Arial"/>
          <w:bCs/>
          <w:iCs/>
        </w:rPr>
      </w:pPr>
      <w:r w:rsidRPr="000C758A">
        <w:rPr>
          <w:rFonts w:cs="Arial"/>
          <w:bCs/>
          <w:iCs/>
        </w:rPr>
        <w:t xml:space="preserve">(4) Destroy, conceal, confiscate, or otherwise deny access by an employee to the employee’s identity or immigration documents, such as passports or drivers' licenses, regardless of issuing authority; </w:t>
      </w:r>
    </w:p>
    <w:p w:rsidR="00F70D9C" w:rsidRPr="000C758A" w:rsidRDefault="00F70D9C" w:rsidP="00E6575A">
      <w:pPr>
        <w:pStyle w:val="BodyText"/>
        <w:jc w:val="both"/>
        <w:rPr>
          <w:rFonts w:cs="Arial"/>
          <w:bCs/>
          <w:iCs/>
        </w:rPr>
      </w:pPr>
      <w:r w:rsidRPr="000C758A">
        <w:rPr>
          <w:rFonts w:cs="Arial"/>
          <w:bCs/>
          <w:iCs/>
        </w:rPr>
        <w:t>(5)(</w:t>
      </w:r>
      <w:proofErr w:type="spellStart"/>
      <w:r w:rsidRPr="000C758A">
        <w:rPr>
          <w:rFonts w:cs="Arial"/>
          <w:bCs/>
          <w:iCs/>
        </w:rPr>
        <w:t>i</w:t>
      </w:r>
      <w:proofErr w:type="spellEnd"/>
      <w:r w:rsidRPr="000C758A">
        <w:rPr>
          <w:rFonts w:cs="Arial"/>
          <w:bCs/>
          <w:iCs/>
        </w:rPr>
        <w:t>)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F70D9C" w:rsidRPr="000C758A" w:rsidRDefault="00F70D9C" w:rsidP="00E6575A">
      <w:pPr>
        <w:pStyle w:val="BodyText"/>
        <w:jc w:val="both"/>
        <w:rPr>
          <w:rFonts w:cs="Arial"/>
          <w:bCs/>
          <w:iCs/>
        </w:rPr>
      </w:pPr>
      <w:r w:rsidRPr="000C758A">
        <w:rPr>
          <w:rFonts w:cs="Arial"/>
          <w:bCs/>
          <w:iCs/>
        </w:rPr>
        <w:t>(ii) Use recruiters that do not comply with local labor laws of the country in which the recruiting takes place;</w:t>
      </w:r>
    </w:p>
    <w:p w:rsidR="00F70D9C" w:rsidRPr="000C758A" w:rsidRDefault="00F70D9C" w:rsidP="00E6575A">
      <w:pPr>
        <w:pStyle w:val="BodyText"/>
        <w:jc w:val="both"/>
        <w:rPr>
          <w:rFonts w:cs="Arial"/>
          <w:bCs/>
          <w:iCs/>
        </w:rPr>
      </w:pPr>
      <w:r w:rsidRPr="000C758A">
        <w:rPr>
          <w:rFonts w:cs="Arial"/>
          <w:bCs/>
          <w:iCs/>
        </w:rPr>
        <w:t xml:space="preserve">(6) Charge </w:t>
      </w:r>
      <w:r w:rsidR="00FE7B59" w:rsidRPr="000C758A">
        <w:rPr>
          <w:rFonts w:cs="Arial"/>
          <w:bCs/>
          <w:iCs/>
        </w:rPr>
        <w:t>employees’</w:t>
      </w:r>
      <w:r w:rsidRPr="000C758A">
        <w:rPr>
          <w:rFonts w:cs="Arial"/>
          <w:bCs/>
          <w:iCs/>
        </w:rPr>
        <w:t xml:space="preserve"> recruitment fees;</w:t>
      </w:r>
    </w:p>
    <w:p w:rsidR="00F70D9C" w:rsidRPr="000C758A" w:rsidRDefault="00F70D9C" w:rsidP="00E6575A">
      <w:pPr>
        <w:pStyle w:val="BodyText"/>
        <w:jc w:val="both"/>
        <w:rPr>
          <w:rFonts w:cs="Arial"/>
          <w:bCs/>
          <w:iCs/>
        </w:rPr>
      </w:pPr>
      <w:r w:rsidRPr="000C758A">
        <w:rPr>
          <w:rFonts w:cs="Arial"/>
          <w:bCs/>
          <w:iCs/>
        </w:rPr>
        <w:t>(7)(</w:t>
      </w:r>
      <w:proofErr w:type="spellStart"/>
      <w:r w:rsidRPr="000C758A">
        <w:rPr>
          <w:rFonts w:cs="Arial"/>
          <w:bCs/>
          <w:iCs/>
        </w:rPr>
        <w:t>i</w:t>
      </w:r>
      <w:proofErr w:type="spellEnd"/>
      <w:r w:rsidRPr="000C758A">
        <w:rPr>
          <w:rFonts w:cs="Arial"/>
          <w:bCs/>
          <w:iCs/>
        </w:rPr>
        <w:t>) Fail to provide return transportation or pay for the cost of return transportation upon the end of employment—</w:t>
      </w:r>
    </w:p>
    <w:p w:rsidR="00F70D9C" w:rsidRPr="000C758A" w:rsidRDefault="00F70D9C" w:rsidP="00E6575A">
      <w:pPr>
        <w:pStyle w:val="BodyText"/>
        <w:jc w:val="both"/>
        <w:rPr>
          <w:rFonts w:cs="Arial"/>
          <w:bCs/>
          <w:iCs/>
        </w:rPr>
      </w:pPr>
      <w:r w:rsidRPr="000C758A">
        <w:rPr>
          <w:rFonts w:cs="Arial"/>
          <w:bCs/>
          <w:iCs/>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70D9C" w:rsidRPr="000C758A" w:rsidRDefault="00F70D9C" w:rsidP="00E6575A">
      <w:pPr>
        <w:pStyle w:val="BodyText"/>
        <w:jc w:val="both"/>
        <w:rPr>
          <w:rFonts w:cs="Arial"/>
          <w:bCs/>
          <w:iCs/>
        </w:rPr>
      </w:pPr>
      <w:r w:rsidRPr="000C758A">
        <w:rPr>
          <w:rFonts w:cs="Arial"/>
          <w:bCs/>
          <w:iCs/>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70D9C" w:rsidRPr="000C758A" w:rsidRDefault="00F70D9C" w:rsidP="00E6575A">
      <w:pPr>
        <w:pStyle w:val="BodyText"/>
        <w:jc w:val="both"/>
        <w:rPr>
          <w:rFonts w:cs="Arial"/>
          <w:bCs/>
          <w:iCs/>
        </w:rPr>
      </w:pPr>
      <w:r w:rsidRPr="000C758A">
        <w:rPr>
          <w:rFonts w:cs="Arial"/>
          <w:bCs/>
          <w:iCs/>
        </w:rPr>
        <w:t>(ii) The requirements of paragraphs (b)(7)(</w:t>
      </w:r>
      <w:proofErr w:type="spellStart"/>
      <w:r w:rsidRPr="000C758A">
        <w:rPr>
          <w:rFonts w:cs="Arial"/>
          <w:bCs/>
          <w:iCs/>
        </w:rPr>
        <w:t>i</w:t>
      </w:r>
      <w:proofErr w:type="spellEnd"/>
      <w:r w:rsidRPr="000C758A">
        <w:rPr>
          <w:rFonts w:cs="Arial"/>
          <w:bCs/>
          <w:iCs/>
        </w:rPr>
        <w:t>) of this clause shall not apply to an employee who is—</w:t>
      </w:r>
    </w:p>
    <w:p w:rsidR="00F70D9C" w:rsidRPr="000C758A" w:rsidRDefault="00F70D9C" w:rsidP="00E6575A">
      <w:pPr>
        <w:pStyle w:val="BodyText"/>
        <w:jc w:val="both"/>
        <w:rPr>
          <w:rFonts w:cs="Arial"/>
          <w:bCs/>
          <w:iCs/>
        </w:rPr>
      </w:pPr>
      <w:r w:rsidRPr="000C758A">
        <w:rPr>
          <w:rFonts w:cs="Arial"/>
          <w:bCs/>
          <w:iCs/>
        </w:rPr>
        <w:lastRenderedPageBreak/>
        <w:t>(A) Legally permitted to remain in the country of employment and who chooses to do so; or</w:t>
      </w:r>
    </w:p>
    <w:p w:rsidR="00F70D9C" w:rsidRPr="000C758A" w:rsidRDefault="00F70D9C" w:rsidP="00E6575A">
      <w:pPr>
        <w:pStyle w:val="BodyText"/>
        <w:jc w:val="both"/>
        <w:rPr>
          <w:rFonts w:cs="Arial"/>
          <w:bCs/>
          <w:iCs/>
        </w:rPr>
      </w:pPr>
      <w:r w:rsidRPr="000C758A">
        <w:rPr>
          <w:rFonts w:cs="Arial"/>
          <w:bCs/>
          <w:iCs/>
        </w:rPr>
        <w:t>(B) Exempted by an authorized official of the contracting agency from the requirement to provide return transportation or pay for the cost of return transportation;</w:t>
      </w:r>
    </w:p>
    <w:p w:rsidR="00F70D9C" w:rsidRPr="000C758A" w:rsidRDefault="00F70D9C" w:rsidP="00E6575A">
      <w:pPr>
        <w:pStyle w:val="BodyText"/>
        <w:jc w:val="both"/>
        <w:rPr>
          <w:rFonts w:cs="Arial"/>
          <w:bCs/>
          <w:iCs/>
        </w:rPr>
      </w:pPr>
      <w:r w:rsidRPr="000C758A">
        <w:rPr>
          <w:rFonts w:cs="Arial"/>
          <w:bCs/>
          <w:iCs/>
        </w:rPr>
        <w:t>(iii) The requirements of paragraph (b)(7)(</w:t>
      </w:r>
      <w:proofErr w:type="spellStart"/>
      <w:r w:rsidRPr="000C758A">
        <w:rPr>
          <w:rFonts w:cs="Arial"/>
          <w:bCs/>
          <w:iCs/>
        </w:rPr>
        <w:t>i</w:t>
      </w:r>
      <w:proofErr w:type="spellEnd"/>
      <w:r w:rsidRPr="000C758A">
        <w:rPr>
          <w:rFonts w:cs="Arial"/>
          <w:bCs/>
          <w:iCs/>
        </w:rPr>
        <w:t>)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70D9C" w:rsidRPr="000C758A" w:rsidRDefault="00F70D9C" w:rsidP="00E6575A">
      <w:pPr>
        <w:pStyle w:val="BodyText"/>
        <w:jc w:val="both"/>
        <w:rPr>
          <w:rFonts w:cs="Arial"/>
          <w:bCs/>
          <w:iCs/>
        </w:rPr>
      </w:pPr>
      <w:r w:rsidRPr="000C758A">
        <w:rPr>
          <w:rFonts w:cs="Arial"/>
          <w:bCs/>
          <w:iCs/>
        </w:rPr>
        <w:t xml:space="preserve">(8) Provide or arrange housing that fails to meet the host country housing and safety standards; or </w:t>
      </w:r>
    </w:p>
    <w:p w:rsidR="00F16CC5" w:rsidRDefault="00F70D9C" w:rsidP="00E6575A">
      <w:pPr>
        <w:pStyle w:val="BodyText"/>
        <w:jc w:val="both"/>
        <w:rPr>
          <w:rFonts w:cs="Arial"/>
          <w:bCs/>
          <w:iCs/>
        </w:rPr>
      </w:pPr>
      <w:r w:rsidRPr="000C758A">
        <w:rPr>
          <w:rFonts w:cs="Arial"/>
          <w:bCs/>
          <w:iCs/>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70D9C" w:rsidRPr="000C758A" w:rsidRDefault="00F70D9C" w:rsidP="00E6575A">
      <w:pPr>
        <w:pStyle w:val="BodyText"/>
        <w:jc w:val="both"/>
        <w:rPr>
          <w:rFonts w:cs="Arial"/>
          <w:bCs/>
          <w:iCs/>
        </w:rPr>
      </w:pPr>
      <w:r w:rsidRPr="000C758A">
        <w:rPr>
          <w:rFonts w:cs="Arial"/>
          <w:bCs/>
          <w:iCs/>
        </w:rPr>
        <w:t xml:space="preserve">(c) Contractor requirements. The Contractor shall— </w:t>
      </w:r>
    </w:p>
    <w:p w:rsidR="00F70D9C" w:rsidRPr="000C758A" w:rsidRDefault="00F70D9C" w:rsidP="00E6575A">
      <w:pPr>
        <w:pStyle w:val="BodyText"/>
        <w:jc w:val="both"/>
        <w:rPr>
          <w:rFonts w:cs="Arial"/>
          <w:bCs/>
          <w:iCs/>
        </w:rPr>
      </w:pPr>
      <w:r w:rsidRPr="000C758A">
        <w:rPr>
          <w:rFonts w:cs="Arial"/>
          <w:bCs/>
          <w:iCs/>
        </w:rPr>
        <w:t>(1) Notify its employees and agents of—</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The United States Government's policy prohibiting trafficking in persons, described in paragraph (b) of this clause; and</w:t>
      </w:r>
    </w:p>
    <w:p w:rsidR="00F70D9C" w:rsidRPr="000C758A" w:rsidRDefault="00F70D9C" w:rsidP="00E6575A">
      <w:pPr>
        <w:pStyle w:val="BodyText"/>
        <w:jc w:val="both"/>
        <w:rPr>
          <w:rFonts w:cs="Arial"/>
          <w:bCs/>
          <w:iCs/>
        </w:rPr>
      </w:pPr>
      <w:r w:rsidRPr="000C758A">
        <w:rPr>
          <w:rFonts w:cs="Arial"/>
          <w:bCs/>
          <w:iCs/>
        </w:rPr>
        <w:t>(ii) The actions that will be taken against employees or agents for violations of this policy. Such actions for employees may include, but are not limited to, removal from the contract, reduction in benefits, or termination of employment; and</w:t>
      </w:r>
    </w:p>
    <w:p w:rsidR="00F70D9C" w:rsidRPr="000C758A" w:rsidRDefault="00F70D9C" w:rsidP="00E6575A">
      <w:pPr>
        <w:pStyle w:val="BodyText"/>
        <w:jc w:val="both"/>
        <w:rPr>
          <w:rFonts w:cs="Arial"/>
          <w:bCs/>
          <w:iCs/>
        </w:rPr>
      </w:pPr>
      <w:r w:rsidRPr="000C758A">
        <w:rPr>
          <w:rFonts w:cs="Arial"/>
          <w:bCs/>
          <w:iCs/>
        </w:rPr>
        <w:t>(2) Take appropriate action, up to and including termination, against employees, agents, or subcontractors that violate the policy in paragraph (b) of this clause.</w:t>
      </w:r>
    </w:p>
    <w:p w:rsidR="00F70D9C" w:rsidRPr="000C758A" w:rsidRDefault="00F70D9C" w:rsidP="00E6575A">
      <w:pPr>
        <w:pStyle w:val="BodyText"/>
        <w:jc w:val="both"/>
        <w:rPr>
          <w:rFonts w:cs="Arial"/>
          <w:bCs/>
          <w:iCs/>
        </w:rPr>
      </w:pPr>
      <w:r w:rsidRPr="000C758A">
        <w:rPr>
          <w:rFonts w:cs="Arial"/>
          <w:bCs/>
          <w:iCs/>
        </w:rPr>
        <w:t>(d) Notification.</w:t>
      </w:r>
    </w:p>
    <w:p w:rsidR="00F70D9C" w:rsidRPr="000C758A" w:rsidRDefault="00F70D9C" w:rsidP="00E6575A">
      <w:pPr>
        <w:pStyle w:val="BodyText"/>
        <w:jc w:val="both"/>
        <w:rPr>
          <w:rFonts w:cs="Arial"/>
          <w:bCs/>
          <w:iCs/>
        </w:rPr>
      </w:pPr>
      <w:r w:rsidRPr="000C758A">
        <w:rPr>
          <w:rFonts w:cs="Arial"/>
          <w:bCs/>
          <w:iCs/>
        </w:rPr>
        <w:t>(1) The Contractor shall inform the Contracting Officer and the agency Inspector General immediately of—</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1" w:history="1">
        <w:r w:rsidRPr="000C758A">
          <w:rPr>
            <w:rStyle w:val="Hyperlink"/>
            <w:rFonts w:cs="Arial"/>
            <w:bCs/>
            <w:iCs/>
          </w:rPr>
          <w:t>18 U.S.C. 1351</w:t>
        </w:r>
      </w:hyperlink>
      <w:r w:rsidRPr="000C758A">
        <w:rPr>
          <w:rFonts w:cs="Arial"/>
          <w:bCs/>
          <w:iCs/>
        </w:rPr>
        <w:t xml:space="preserve">, Fraud in Foreign Labor Contracting, and </w:t>
      </w:r>
      <w:hyperlink r:id="rId22" w:anchor="wp1141983" w:history="1">
        <w:r w:rsidRPr="000C758A">
          <w:rPr>
            <w:rStyle w:val="Hyperlink"/>
            <w:rFonts w:cs="Arial"/>
            <w:bCs/>
            <w:iCs/>
          </w:rPr>
          <w:t>52.203-13</w:t>
        </w:r>
      </w:hyperlink>
      <w:r w:rsidRPr="000C758A">
        <w:rPr>
          <w:rFonts w:cs="Arial"/>
          <w:bCs/>
          <w:iCs/>
        </w:rPr>
        <w:t>(b)(3)(</w:t>
      </w:r>
      <w:proofErr w:type="spellStart"/>
      <w:r w:rsidRPr="000C758A">
        <w:rPr>
          <w:rFonts w:cs="Arial"/>
          <w:bCs/>
          <w:iCs/>
        </w:rPr>
        <w:t>i</w:t>
      </w:r>
      <w:proofErr w:type="spellEnd"/>
      <w:r w:rsidRPr="000C758A">
        <w:rPr>
          <w:rFonts w:cs="Arial"/>
          <w:bCs/>
          <w:iCs/>
        </w:rPr>
        <w:t xml:space="preserve">)(A), if that clause is included in the solicitation or contract, which requires disclosure to the agency Office of the Inspector General when the Contractor has credible evidence of fraud); and </w:t>
      </w:r>
    </w:p>
    <w:p w:rsidR="00F70D9C" w:rsidRPr="000C758A" w:rsidRDefault="00F70D9C" w:rsidP="00E6575A">
      <w:pPr>
        <w:pStyle w:val="BodyText"/>
        <w:jc w:val="both"/>
        <w:rPr>
          <w:rFonts w:cs="Arial"/>
          <w:bCs/>
          <w:iCs/>
        </w:rPr>
      </w:pPr>
      <w:r w:rsidRPr="000C758A">
        <w:rPr>
          <w:rFonts w:cs="Arial"/>
          <w:bCs/>
          <w:iCs/>
        </w:rPr>
        <w:t>(ii) Any actions taken against a Contractor employee, subcontractor, subcontractor employee, or their agent pursuant to this clause.</w:t>
      </w:r>
    </w:p>
    <w:p w:rsidR="00F70D9C" w:rsidRPr="000C758A" w:rsidRDefault="00F70D9C" w:rsidP="00E6575A">
      <w:pPr>
        <w:pStyle w:val="BodyText"/>
        <w:jc w:val="both"/>
        <w:rPr>
          <w:rFonts w:cs="Arial"/>
          <w:bCs/>
          <w:iCs/>
        </w:rPr>
      </w:pPr>
      <w:r w:rsidRPr="000C758A">
        <w:rPr>
          <w:rFonts w:cs="Arial"/>
          <w:bCs/>
          <w:iCs/>
        </w:rPr>
        <w:t>(2) If the allegation may be associated with more than one contract, the Contractor shall inform the contracting officer for the contract with the highest dollar value.</w:t>
      </w:r>
    </w:p>
    <w:p w:rsidR="00F70D9C" w:rsidRPr="000C758A" w:rsidRDefault="00F70D9C" w:rsidP="00E6575A">
      <w:pPr>
        <w:pStyle w:val="BodyText"/>
        <w:jc w:val="both"/>
        <w:rPr>
          <w:rFonts w:cs="Arial"/>
          <w:bCs/>
          <w:iCs/>
        </w:rPr>
      </w:pPr>
      <w:r w:rsidRPr="000C758A">
        <w:rPr>
          <w:rFonts w:cs="Arial"/>
          <w:bCs/>
          <w:iCs/>
        </w:rPr>
        <w:t>(e) Remedies. In addition to other remedies available to the Government, the Contractor’s failure to comply with the requirements of paragraphs (c), (d), (g), (h), or (</w:t>
      </w:r>
      <w:proofErr w:type="spellStart"/>
      <w:r w:rsidRPr="000C758A">
        <w:rPr>
          <w:rFonts w:cs="Arial"/>
          <w:bCs/>
          <w:iCs/>
        </w:rPr>
        <w:t>i</w:t>
      </w:r>
      <w:proofErr w:type="spellEnd"/>
      <w:r w:rsidRPr="000C758A">
        <w:rPr>
          <w:rFonts w:cs="Arial"/>
          <w:bCs/>
          <w:iCs/>
        </w:rPr>
        <w:t xml:space="preserve">) of this clause may result in— </w:t>
      </w:r>
    </w:p>
    <w:p w:rsidR="00F70D9C" w:rsidRPr="000C758A" w:rsidRDefault="00F70D9C" w:rsidP="00E6575A">
      <w:pPr>
        <w:pStyle w:val="BodyText"/>
        <w:jc w:val="both"/>
        <w:rPr>
          <w:rFonts w:cs="Arial"/>
          <w:bCs/>
          <w:iCs/>
        </w:rPr>
      </w:pPr>
      <w:r w:rsidRPr="000C758A">
        <w:rPr>
          <w:rFonts w:cs="Arial"/>
          <w:bCs/>
          <w:iCs/>
        </w:rPr>
        <w:lastRenderedPageBreak/>
        <w:t xml:space="preserve">(1) Requiring the Contractor to remove a Contractor employee or employees from the performance of the contract; </w:t>
      </w:r>
    </w:p>
    <w:p w:rsidR="00F70D9C" w:rsidRPr="000C758A" w:rsidRDefault="00F70D9C" w:rsidP="00E6575A">
      <w:pPr>
        <w:pStyle w:val="BodyText"/>
        <w:jc w:val="both"/>
        <w:rPr>
          <w:rFonts w:cs="Arial"/>
          <w:bCs/>
          <w:iCs/>
        </w:rPr>
      </w:pPr>
      <w:r w:rsidRPr="000C758A">
        <w:rPr>
          <w:rFonts w:cs="Arial"/>
          <w:bCs/>
          <w:iCs/>
        </w:rPr>
        <w:t xml:space="preserve">(2) Requiring the Contractor to terminate a subcontract; </w:t>
      </w:r>
    </w:p>
    <w:p w:rsidR="00F70D9C" w:rsidRPr="000C758A" w:rsidRDefault="00F70D9C" w:rsidP="00E6575A">
      <w:pPr>
        <w:pStyle w:val="BodyText"/>
        <w:jc w:val="both"/>
        <w:rPr>
          <w:rFonts w:cs="Arial"/>
          <w:bCs/>
          <w:iCs/>
        </w:rPr>
      </w:pPr>
      <w:r w:rsidRPr="000C758A">
        <w:rPr>
          <w:rFonts w:cs="Arial"/>
          <w:bCs/>
          <w:iCs/>
        </w:rPr>
        <w:t xml:space="preserve">(3) Suspension of contract payments until the Contractor has taken appropriate remedial action; </w:t>
      </w:r>
    </w:p>
    <w:p w:rsidR="00F70D9C" w:rsidRPr="000C758A" w:rsidRDefault="00F70D9C" w:rsidP="00E6575A">
      <w:pPr>
        <w:pStyle w:val="BodyText"/>
        <w:jc w:val="both"/>
        <w:rPr>
          <w:rFonts w:cs="Arial"/>
          <w:bCs/>
          <w:iCs/>
        </w:rPr>
      </w:pPr>
      <w:r w:rsidRPr="000C758A">
        <w:rPr>
          <w:rFonts w:cs="Arial"/>
          <w:bCs/>
          <w:iCs/>
        </w:rPr>
        <w:t xml:space="preserve">(4) Loss of award fee, consistent with the award fee plan, for the performance period in which the Government determined Contractor non-compliance; </w:t>
      </w:r>
    </w:p>
    <w:p w:rsidR="00F70D9C" w:rsidRPr="000C758A" w:rsidRDefault="00F70D9C" w:rsidP="00E6575A">
      <w:pPr>
        <w:pStyle w:val="BodyText"/>
        <w:jc w:val="both"/>
        <w:rPr>
          <w:rFonts w:cs="Arial"/>
          <w:bCs/>
          <w:iCs/>
        </w:rPr>
      </w:pPr>
      <w:r w:rsidRPr="000C758A">
        <w:rPr>
          <w:rFonts w:cs="Arial"/>
          <w:bCs/>
          <w:iCs/>
        </w:rPr>
        <w:t xml:space="preserve">(5) Declining to exercise available options under the contract; </w:t>
      </w:r>
    </w:p>
    <w:p w:rsidR="00F70D9C" w:rsidRPr="000C758A" w:rsidRDefault="00F70D9C" w:rsidP="00E6575A">
      <w:pPr>
        <w:pStyle w:val="BodyText"/>
        <w:jc w:val="both"/>
        <w:rPr>
          <w:rFonts w:cs="Arial"/>
          <w:bCs/>
          <w:iCs/>
        </w:rPr>
      </w:pPr>
      <w:r w:rsidRPr="000C758A">
        <w:rPr>
          <w:rFonts w:cs="Arial"/>
          <w:bCs/>
          <w:iCs/>
        </w:rPr>
        <w:t xml:space="preserve">(6) Termination of the contract for default or cause, in accordance with the termination clause of this contract; or </w:t>
      </w:r>
    </w:p>
    <w:p w:rsidR="00F70D9C" w:rsidRPr="000C758A" w:rsidRDefault="00F70D9C" w:rsidP="00E6575A">
      <w:pPr>
        <w:pStyle w:val="BodyText"/>
        <w:jc w:val="both"/>
        <w:rPr>
          <w:rFonts w:cs="Arial"/>
          <w:bCs/>
          <w:iCs/>
        </w:rPr>
      </w:pPr>
      <w:r w:rsidRPr="000C758A">
        <w:rPr>
          <w:rFonts w:cs="Arial"/>
          <w:bCs/>
          <w:iCs/>
        </w:rPr>
        <w:t>(7) Suspension or debarment.</w:t>
      </w:r>
    </w:p>
    <w:p w:rsidR="00F70D9C" w:rsidRPr="000C758A" w:rsidRDefault="00F70D9C" w:rsidP="00E6575A">
      <w:pPr>
        <w:pStyle w:val="BodyText"/>
        <w:jc w:val="both"/>
        <w:rPr>
          <w:rFonts w:cs="Arial"/>
          <w:bCs/>
          <w:iCs/>
        </w:rPr>
      </w:pPr>
      <w:r w:rsidRPr="000C758A">
        <w:rPr>
          <w:rFonts w:cs="Arial"/>
          <w:bCs/>
          <w:iCs/>
        </w:rPr>
        <w:t xml:space="preserve">(f) Mitigating and aggravating factors. When determining remedies, the Contracting Officer may consider the following: </w:t>
      </w:r>
    </w:p>
    <w:p w:rsidR="00F70D9C" w:rsidRPr="000C758A" w:rsidRDefault="00F70D9C" w:rsidP="00E6575A">
      <w:pPr>
        <w:pStyle w:val="BodyText"/>
        <w:jc w:val="both"/>
        <w:rPr>
          <w:rFonts w:cs="Arial"/>
          <w:bCs/>
          <w:iCs/>
        </w:rPr>
      </w:pPr>
      <w:r w:rsidRPr="000C758A">
        <w:rPr>
          <w:rFonts w:cs="Arial"/>
          <w:bCs/>
          <w:iCs/>
        </w:rPr>
        <w:t xml:space="preserve">(1)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 </w:t>
      </w:r>
    </w:p>
    <w:p w:rsidR="00F70D9C" w:rsidRPr="000C758A" w:rsidRDefault="00F70D9C" w:rsidP="00E6575A">
      <w:pPr>
        <w:pStyle w:val="BodyText"/>
        <w:jc w:val="both"/>
        <w:rPr>
          <w:rFonts w:cs="Arial"/>
          <w:bCs/>
          <w:iCs/>
        </w:rPr>
      </w:pPr>
      <w:r w:rsidRPr="000C758A">
        <w:rPr>
          <w:rFonts w:cs="Arial"/>
          <w:bCs/>
          <w:iCs/>
        </w:rPr>
        <w:t xml:space="preserve">(2) Aggravating factors. The Contractor failed to abate an alleged violation or enforce the requirements of a compliance plan, when directed by the Contracting Officer to do so. </w:t>
      </w:r>
    </w:p>
    <w:p w:rsidR="00F70D9C" w:rsidRPr="000C758A" w:rsidRDefault="00F70D9C" w:rsidP="00E6575A">
      <w:pPr>
        <w:pStyle w:val="BodyText"/>
        <w:jc w:val="both"/>
        <w:rPr>
          <w:rFonts w:cs="Arial"/>
          <w:bCs/>
          <w:iCs/>
        </w:rPr>
      </w:pPr>
      <w:r w:rsidRPr="000C758A">
        <w:rPr>
          <w:rFonts w:cs="Arial"/>
          <w:bCs/>
          <w:iCs/>
        </w:rPr>
        <w:t xml:space="preserve">(g) Full cooperation. </w:t>
      </w:r>
    </w:p>
    <w:p w:rsidR="00F70D9C" w:rsidRPr="000C758A" w:rsidRDefault="00F70D9C" w:rsidP="00E6575A">
      <w:pPr>
        <w:pStyle w:val="BodyText"/>
        <w:jc w:val="both"/>
        <w:rPr>
          <w:rFonts w:cs="Arial"/>
          <w:bCs/>
          <w:iCs/>
        </w:rPr>
      </w:pPr>
      <w:r w:rsidRPr="000C758A">
        <w:rPr>
          <w:rFonts w:cs="Arial"/>
          <w:bCs/>
          <w:iCs/>
        </w:rPr>
        <w:t>(1) The Contractor shall, at a minimum—</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Disclose to the agency Inspector General information sufficient to identify the nature and extent of an offense and the individuals responsible for the conduct;</w:t>
      </w:r>
    </w:p>
    <w:p w:rsidR="00F70D9C" w:rsidRPr="000C758A" w:rsidRDefault="00F70D9C" w:rsidP="00E6575A">
      <w:pPr>
        <w:pStyle w:val="BodyText"/>
        <w:jc w:val="both"/>
        <w:rPr>
          <w:rFonts w:cs="Arial"/>
          <w:bCs/>
          <w:iCs/>
        </w:rPr>
      </w:pPr>
      <w:r w:rsidRPr="000C758A">
        <w:rPr>
          <w:rFonts w:cs="Arial"/>
          <w:bCs/>
          <w:iCs/>
        </w:rPr>
        <w:t>(ii) Provide timely and complete responses to Government auditors' and investigators' requests for documents;</w:t>
      </w:r>
    </w:p>
    <w:p w:rsidR="00F70D9C" w:rsidRPr="000C758A" w:rsidRDefault="00F70D9C" w:rsidP="00E6575A">
      <w:pPr>
        <w:pStyle w:val="BodyText"/>
        <w:jc w:val="both"/>
        <w:rPr>
          <w:rFonts w:cs="Arial"/>
          <w:bCs/>
          <w:iCs/>
        </w:rPr>
      </w:pPr>
      <w:r w:rsidRPr="000C758A">
        <w:rPr>
          <w:rFonts w:cs="Arial"/>
          <w:bCs/>
          <w:iCs/>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3" w:history="1">
        <w:r w:rsidRPr="000C758A">
          <w:rPr>
            <w:rStyle w:val="Hyperlink"/>
            <w:rFonts w:cs="Arial"/>
            <w:bCs/>
            <w:iCs/>
          </w:rPr>
          <w:t>22 U.S.C. chapter 78</w:t>
        </w:r>
      </w:hyperlink>
      <w:r w:rsidRPr="000C758A">
        <w:rPr>
          <w:rFonts w:cs="Arial"/>
          <w:bCs/>
          <w:iCs/>
        </w:rPr>
        <w:t xml:space="preserve">), E.O. 13627, or any other applicable law or regulation establishing restrictions on trafficking in persons, the procurement of commercial sex acts, or the use of forced labor; and </w:t>
      </w:r>
    </w:p>
    <w:p w:rsidR="00F70D9C" w:rsidRPr="000C758A" w:rsidRDefault="00F70D9C" w:rsidP="00E6575A">
      <w:pPr>
        <w:pStyle w:val="BodyText"/>
        <w:jc w:val="both"/>
        <w:rPr>
          <w:rFonts w:cs="Arial"/>
          <w:bCs/>
          <w:iCs/>
        </w:rPr>
      </w:pPr>
      <w:r w:rsidRPr="000C758A">
        <w:rPr>
          <w:rFonts w:cs="Arial"/>
          <w:bCs/>
          <w:iCs/>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70D9C" w:rsidRPr="000C758A" w:rsidRDefault="00F70D9C" w:rsidP="00E6575A">
      <w:pPr>
        <w:pStyle w:val="BodyText"/>
        <w:jc w:val="both"/>
        <w:rPr>
          <w:rFonts w:cs="Arial"/>
          <w:bCs/>
          <w:iCs/>
        </w:rPr>
      </w:pPr>
      <w:r w:rsidRPr="000C758A">
        <w:rPr>
          <w:rFonts w:cs="Arial"/>
          <w:bCs/>
          <w:iCs/>
        </w:rPr>
        <w:t>(2) The requirement for full cooperation does not foreclose any Contractor rights arising in law, the FAR, or the terms of the contract. It does not—</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Require the Contractor to waive its attorney-client privilege or the protections afforded by the attorney work product doctrine;</w:t>
      </w:r>
    </w:p>
    <w:p w:rsidR="00F70D9C" w:rsidRPr="000C758A" w:rsidRDefault="00F70D9C" w:rsidP="00E6575A">
      <w:pPr>
        <w:pStyle w:val="BodyText"/>
        <w:jc w:val="both"/>
        <w:rPr>
          <w:rFonts w:cs="Arial"/>
          <w:bCs/>
          <w:iCs/>
        </w:rPr>
      </w:pPr>
      <w:r w:rsidRPr="000C758A">
        <w:rPr>
          <w:rFonts w:cs="Arial"/>
          <w:bCs/>
          <w:iCs/>
        </w:rPr>
        <w:t>(ii) Require any officer, director, owner, employee, or agent of the Contractor, including a sole proprietor, to waive his or her attorney client privilege or Fifth Amendment rights; or</w:t>
      </w:r>
    </w:p>
    <w:p w:rsidR="00F70D9C" w:rsidRPr="000C758A" w:rsidRDefault="00F70D9C" w:rsidP="00E6575A">
      <w:pPr>
        <w:pStyle w:val="BodyText"/>
        <w:jc w:val="both"/>
        <w:rPr>
          <w:rFonts w:cs="Arial"/>
          <w:bCs/>
          <w:iCs/>
        </w:rPr>
      </w:pPr>
      <w:r w:rsidRPr="000C758A">
        <w:rPr>
          <w:rFonts w:cs="Arial"/>
          <w:bCs/>
          <w:iCs/>
        </w:rPr>
        <w:t>(iii) Restrict the Contractor from—</w:t>
      </w:r>
    </w:p>
    <w:p w:rsidR="00F70D9C" w:rsidRPr="000C758A" w:rsidRDefault="00F70D9C" w:rsidP="00E6575A">
      <w:pPr>
        <w:pStyle w:val="BodyText"/>
        <w:jc w:val="both"/>
        <w:rPr>
          <w:rFonts w:cs="Arial"/>
          <w:bCs/>
          <w:iCs/>
        </w:rPr>
      </w:pPr>
      <w:r w:rsidRPr="000C758A">
        <w:rPr>
          <w:rFonts w:cs="Arial"/>
          <w:bCs/>
          <w:iCs/>
        </w:rPr>
        <w:lastRenderedPageBreak/>
        <w:t>(A) Conducting an internal investigation; or</w:t>
      </w:r>
    </w:p>
    <w:p w:rsidR="00F70D9C" w:rsidRPr="000C758A" w:rsidRDefault="00F70D9C" w:rsidP="00E6575A">
      <w:pPr>
        <w:pStyle w:val="BodyText"/>
        <w:jc w:val="both"/>
        <w:rPr>
          <w:rFonts w:cs="Arial"/>
          <w:bCs/>
          <w:iCs/>
        </w:rPr>
      </w:pPr>
      <w:r w:rsidRPr="000C758A">
        <w:rPr>
          <w:rFonts w:cs="Arial"/>
          <w:bCs/>
          <w:iCs/>
        </w:rPr>
        <w:t>(B) Defending a proceeding or dispute arising under the contract or related to a potential or disclosed violation.</w:t>
      </w:r>
    </w:p>
    <w:p w:rsidR="00F70D9C" w:rsidRPr="000C758A" w:rsidRDefault="00F70D9C" w:rsidP="00E6575A">
      <w:pPr>
        <w:pStyle w:val="BodyText"/>
        <w:jc w:val="both"/>
        <w:rPr>
          <w:rFonts w:cs="Arial"/>
          <w:bCs/>
          <w:iCs/>
        </w:rPr>
      </w:pPr>
      <w:r w:rsidRPr="000C758A">
        <w:rPr>
          <w:rFonts w:cs="Arial"/>
          <w:bCs/>
          <w:iCs/>
        </w:rPr>
        <w:t xml:space="preserve">(h) Compliance plan. </w:t>
      </w:r>
    </w:p>
    <w:p w:rsidR="00F70D9C" w:rsidRPr="000C758A" w:rsidRDefault="00F70D9C" w:rsidP="00E6575A">
      <w:pPr>
        <w:pStyle w:val="BodyText"/>
        <w:jc w:val="both"/>
        <w:rPr>
          <w:rFonts w:cs="Arial"/>
          <w:bCs/>
          <w:iCs/>
        </w:rPr>
      </w:pPr>
      <w:r w:rsidRPr="000C758A">
        <w:rPr>
          <w:rFonts w:cs="Arial"/>
          <w:bCs/>
          <w:iCs/>
        </w:rPr>
        <w:t>(1) This paragraph (h) applies to any portion of the contract that—</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Is for supplies, other than commercially available off-the-shelf items, acquired outside the United States, or services to be performed outside the United States; and</w:t>
      </w:r>
    </w:p>
    <w:p w:rsidR="00F70D9C" w:rsidRPr="000C758A" w:rsidRDefault="00F70D9C" w:rsidP="00E6575A">
      <w:pPr>
        <w:pStyle w:val="BodyText"/>
        <w:jc w:val="both"/>
        <w:rPr>
          <w:rFonts w:cs="Arial"/>
          <w:bCs/>
          <w:iCs/>
        </w:rPr>
      </w:pPr>
      <w:r w:rsidRPr="000C758A">
        <w:rPr>
          <w:rFonts w:cs="Arial"/>
          <w:bCs/>
          <w:iCs/>
        </w:rPr>
        <w:t>(ii) Has an estimated value that exceeds $500,000.</w:t>
      </w:r>
    </w:p>
    <w:p w:rsidR="00F70D9C" w:rsidRPr="000C758A" w:rsidRDefault="00F70D9C" w:rsidP="00E6575A">
      <w:pPr>
        <w:pStyle w:val="BodyText"/>
        <w:jc w:val="both"/>
        <w:rPr>
          <w:rFonts w:cs="Arial"/>
          <w:bCs/>
          <w:iCs/>
        </w:rPr>
      </w:pPr>
      <w:r w:rsidRPr="000C758A">
        <w:rPr>
          <w:rFonts w:cs="Arial"/>
          <w:bCs/>
          <w:iCs/>
        </w:rPr>
        <w:t>(2) The Contractor shall maintain a compliance plan during the performance of the contract that is appropriate—</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To the size and complexity of the contract; and </w:t>
      </w:r>
    </w:p>
    <w:p w:rsidR="00F70D9C" w:rsidRPr="000C758A" w:rsidRDefault="00F70D9C" w:rsidP="00E6575A">
      <w:pPr>
        <w:pStyle w:val="BodyText"/>
        <w:jc w:val="both"/>
        <w:rPr>
          <w:rFonts w:cs="Arial"/>
          <w:bCs/>
          <w:iCs/>
        </w:rPr>
      </w:pPr>
      <w:r w:rsidRPr="000C758A">
        <w:rPr>
          <w:rFonts w:cs="Arial"/>
          <w:bCs/>
          <w:iCs/>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70D9C" w:rsidRPr="000C758A" w:rsidRDefault="00F70D9C" w:rsidP="00E6575A">
      <w:pPr>
        <w:pStyle w:val="BodyText"/>
        <w:jc w:val="both"/>
        <w:rPr>
          <w:rFonts w:cs="Arial"/>
          <w:bCs/>
          <w:iCs/>
        </w:rPr>
      </w:pPr>
      <w:r w:rsidRPr="000C758A">
        <w:rPr>
          <w:rFonts w:cs="Arial"/>
          <w:bCs/>
          <w:iCs/>
        </w:rPr>
        <w:t xml:space="preserve">(3) Minimum requirements. The compliance plan must include, at a minimum, the following: </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4" w:history="1">
        <w:r w:rsidRPr="000C758A">
          <w:rPr>
            <w:rStyle w:val="Hyperlink"/>
            <w:rFonts w:cs="Arial"/>
            <w:bCs/>
            <w:iCs/>
          </w:rPr>
          <w:t>http://www.state.gov/j/tip/</w:t>
        </w:r>
      </w:hyperlink>
      <w:hyperlink r:id="rId25" w:history="1">
        <w:r w:rsidRPr="000C758A">
          <w:rPr>
            <w:rStyle w:val="Hyperlink"/>
            <w:rFonts w:cs="Arial"/>
            <w:bCs/>
            <w:iCs/>
          </w:rPr>
          <w:t>http://www.state.gov/j/tip/</w:t>
        </w:r>
      </w:hyperlink>
      <w:r w:rsidRPr="000C758A">
        <w:rPr>
          <w:rFonts w:cs="Arial"/>
          <w:bCs/>
          <w:iCs/>
        </w:rPr>
        <w:t xml:space="preserve">. </w:t>
      </w:r>
    </w:p>
    <w:p w:rsidR="00F70D9C" w:rsidRPr="000C758A" w:rsidRDefault="00F70D9C" w:rsidP="00E6575A">
      <w:pPr>
        <w:pStyle w:val="BodyText"/>
        <w:jc w:val="both"/>
        <w:rPr>
          <w:rFonts w:cs="Arial"/>
          <w:bCs/>
          <w:iCs/>
        </w:rPr>
      </w:pPr>
      <w:r w:rsidRPr="000C758A">
        <w:rPr>
          <w:rFonts w:cs="Arial"/>
          <w:bCs/>
          <w:iCs/>
        </w:rPr>
        <w:t>(ii)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help@befree.org.</w:t>
      </w:r>
    </w:p>
    <w:p w:rsidR="00F70D9C" w:rsidRPr="000C758A" w:rsidRDefault="00F70D9C" w:rsidP="00E6575A">
      <w:pPr>
        <w:pStyle w:val="BodyText"/>
        <w:jc w:val="both"/>
        <w:rPr>
          <w:rFonts w:cs="Arial"/>
          <w:bCs/>
          <w:iCs/>
        </w:rPr>
      </w:pPr>
      <w:r w:rsidRPr="000C758A">
        <w:rPr>
          <w:rFonts w:cs="Arial"/>
          <w:bCs/>
          <w:iCs/>
        </w:rPr>
        <w:t>(iii) A recruitment and wage plan that only permits the use of recruitment companies with trained employees, prohibits charging recruitment fees to the employee, and ensures that wages meet applicable host-country legal requirements or explains any variance.</w:t>
      </w:r>
    </w:p>
    <w:p w:rsidR="00F70D9C" w:rsidRPr="000C758A" w:rsidRDefault="00F70D9C" w:rsidP="00E6575A">
      <w:pPr>
        <w:pStyle w:val="BodyText"/>
        <w:jc w:val="both"/>
        <w:rPr>
          <w:rFonts w:cs="Arial"/>
          <w:bCs/>
          <w:iCs/>
        </w:rPr>
      </w:pPr>
      <w:r w:rsidRPr="000C758A">
        <w:rPr>
          <w:rFonts w:cs="Arial"/>
          <w:bCs/>
          <w:iCs/>
        </w:rPr>
        <w:t xml:space="preserve">(iv) A housing plan, if the Contractor or subcontractor intends to provide or arrange </w:t>
      </w:r>
      <w:r w:rsidR="00D71608" w:rsidRPr="000C758A">
        <w:rPr>
          <w:rFonts w:cs="Arial"/>
          <w:bCs/>
          <w:iCs/>
        </w:rPr>
        <w:t>housing that</w:t>
      </w:r>
      <w:r w:rsidRPr="000C758A">
        <w:rPr>
          <w:rFonts w:cs="Arial"/>
          <w:bCs/>
          <w:iCs/>
        </w:rPr>
        <w:t xml:space="preserve"> ensures that the housing meets host-country housing and safety standards.</w:t>
      </w:r>
    </w:p>
    <w:p w:rsidR="00F70D9C" w:rsidRPr="000C758A" w:rsidRDefault="00F70D9C" w:rsidP="00E6575A">
      <w:pPr>
        <w:pStyle w:val="BodyText"/>
        <w:jc w:val="both"/>
        <w:rPr>
          <w:rFonts w:cs="Arial"/>
          <w:bCs/>
          <w:iCs/>
        </w:rPr>
      </w:pPr>
      <w:r w:rsidRPr="000C758A">
        <w:rPr>
          <w:rFonts w:cs="Arial"/>
          <w:bCs/>
          <w:iCs/>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F70D9C" w:rsidRPr="000C758A" w:rsidRDefault="00F70D9C" w:rsidP="00E6575A">
      <w:pPr>
        <w:pStyle w:val="BodyText"/>
        <w:jc w:val="both"/>
        <w:rPr>
          <w:rFonts w:cs="Arial"/>
          <w:bCs/>
          <w:iCs/>
        </w:rPr>
      </w:pPr>
      <w:r w:rsidRPr="000C758A">
        <w:rPr>
          <w:rFonts w:cs="Arial"/>
          <w:bCs/>
          <w:iCs/>
        </w:rPr>
        <w:t xml:space="preserve">(4) Posting. </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70D9C" w:rsidRPr="000C758A" w:rsidRDefault="00F70D9C" w:rsidP="00E6575A">
      <w:pPr>
        <w:pStyle w:val="BodyText"/>
        <w:jc w:val="both"/>
        <w:rPr>
          <w:rFonts w:cs="Arial"/>
          <w:bCs/>
          <w:iCs/>
        </w:rPr>
      </w:pPr>
      <w:r w:rsidRPr="000C758A">
        <w:rPr>
          <w:rFonts w:cs="Arial"/>
          <w:bCs/>
          <w:iCs/>
        </w:rPr>
        <w:t>(ii) The Contractor shall provide the compliance plan to the Contracting Officer upon request.</w:t>
      </w:r>
    </w:p>
    <w:p w:rsidR="00F70D9C" w:rsidRPr="000C758A" w:rsidRDefault="00F70D9C" w:rsidP="00E6575A">
      <w:pPr>
        <w:pStyle w:val="BodyText"/>
        <w:jc w:val="both"/>
        <w:rPr>
          <w:rFonts w:cs="Arial"/>
          <w:bCs/>
          <w:iCs/>
        </w:rPr>
      </w:pPr>
      <w:r w:rsidRPr="000C758A">
        <w:rPr>
          <w:rFonts w:cs="Arial"/>
          <w:bCs/>
          <w:iCs/>
        </w:rPr>
        <w:lastRenderedPageBreak/>
        <w:t xml:space="preserve">(5) Certification. Annually after receiving an award, the Contractor shall submit a certification to the Contracting Officer that— </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It has implemented a compliance plan to prevent any prohibited activities identified at paragraph (b) of this clause and to monitor, detect, and terminate any agent, subcontract or subcontractor employee engaging in prohibited activities; and</w:t>
      </w:r>
    </w:p>
    <w:p w:rsidR="00F70D9C" w:rsidRPr="000C758A" w:rsidRDefault="00F70D9C" w:rsidP="00E6575A">
      <w:pPr>
        <w:pStyle w:val="BodyText"/>
        <w:jc w:val="both"/>
        <w:rPr>
          <w:rFonts w:cs="Arial"/>
          <w:bCs/>
          <w:iCs/>
        </w:rPr>
      </w:pPr>
      <w:r w:rsidRPr="000C758A">
        <w:rPr>
          <w:rFonts w:cs="Arial"/>
          <w:bCs/>
          <w:iCs/>
        </w:rPr>
        <w:t>(ii) After having conducted due diligence, either—</w:t>
      </w:r>
    </w:p>
    <w:p w:rsidR="00F70D9C" w:rsidRPr="000C758A" w:rsidRDefault="00F70D9C" w:rsidP="00E6575A">
      <w:pPr>
        <w:pStyle w:val="BodyText"/>
        <w:jc w:val="both"/>
        <w:rPr>
          <w:rFonts w:cs="Arial"/>
          <w:bCs/>
          <w:iCs/>
        </w:rPr>
      </w:pPr>
      <w:r w:rsidRPr="000C758A">
        <w:rPr>
          <w:rFonts w:cs="Arial"/>
          <w:bCs/>
          <w:iCs/>
        </w:rPr>
        <w:t>(A) To the best of the Contractor's knowledge and belief, neither it nor any of its agents, subcontractors, or their agents is engaged in any such activities; or</w:t>
      </w:r>
    </w:p>
    <w:p w:rsidR="00F70D9C" w:rsidRPr="000C758A" w:rsidRDefault="00F70D9C" w:rsidP="00E6575A">
      <w:pPr>
        <w:pStyle w:val="BodyText"/>
        <w:jc w:val="both"/>
        <w:rPr>
          <w:rFonts w:cs="Arial"/>
          <w:bCs/>
          <w:iCs/>
        </w:rPr>
      </w:pPr>
      <w:r w:rsidRPr="000C758A">
        <w:rPr>
          <w:rFonts w:cs="Arial"/>
          <w:bCs/>
          <w:iCs/>
        </w:rPr>
        <w:t>(B) If abuses relating to any of the prohibited activities identified in paragraph (b) of this clause have been found, the Contractor or subcontractor has taken the appropriate remedial and referral actions.</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Subcontracts. </w:t>
      </w:r>
    </w:p>
    <w:p w:rsidR="00F70D9C" w:rsidRPr="000C758A" w:rsidRDefault="00F70D9C" w:rsidP="00E6575A">
      <w:pPr>
        <w:pStyle w:val="BodyText"/>
        <w:jc w:val="both"/>
        <w:rPr>
          <w:rFonts w:cs="Arial"/>
          <w:bCs/>
          <w:iCs/>
        </w:rPr>
      </w:pPr>
      <w:r w:rsidRPr="000C758A">
        <w:rPr>
          <w:rFonts w:cs="Arial"/>
          <w:bCs/>
          <w:iCs/>
        </w:rPr>
        <w:t>(1) The Contractor shall include the substance of this clause, including this paragraph (</w:t>
      </w:r>
      <w:proofErr w:type="spellStart"/>
      <w:r w:rsidRPr="000C758A">
        <w:rPr>
          <w:rFonts w:cs="Arial"/>
          <w:bCs/>
          <w:iCs/>
        </w:rPr>
        <w:t>i</w:t>
      </w:r>
      <w:proofErr w:type="spellEnd"/>
      <w:r w:rsidRPr="000C758A">
        <w:rPr>
          <w:rFonts w:cs="Arial"/>
          <w:bCs/>
          <w:iCs/>
        </w:rPr>
        <w:t>), in all subcontracts and in all contracts with agents. The requirements in paragraph (h) of this clause apply only to any portion of the subcontract that—</w:t>
      </w:r>
    </w:p>
    <w:p w:rsidR="00F70D9C" w:rsidRPr="000C758A" w:rsidRDefault="00F70D9C" w:rsidP="00E6575A">
      <w:pPr>
        <w:pStyle w:val="BodyText"/>
        <w:jc w:val="both"/>
        <w:rPr>
          <w:rFonts w:cs="Arial"/>
          <w:bCs/>
          <w:iCs/>
        </w:rPr>
      </w:pPr>
      <w:r w:rsidRPr="000C758A">
        <w:rPr>
          <w:rFonts w:cs="Arial"/>
          <w:bCs/>
          <w:iCs/>
        </w:rPr>
        <w:t>(A) Is for supplies, other than commercially available off-the-shelf items, acquired outside the United States, or services to be performed outside the United States; and</w:t>
      </w:r>
    </w:p>
    <w:p w:rsidR="00F70D9C" w:rsidRPr="000C758A" w:rsidRDefault="00F70D9C" w:rsidP="00E6575A">
      <w:pPr>
        <w:pStyle w:val="BodyText"/>
        <w:jc w:val="both"/>
        <w:rPr>
          <w:rFonts w:cs="Arial"/>
          <w:bCs/>
          <w:iCs/>
        </w:rPr>
      </w:pPr>
      <w:r w:rsidRPr="000C758A">
        <w:rPr>
          <w:rFonts w:cs="Arial"/>
          <w:bCs/>
          <w:iCs/>
        </w:rPr>
        <w:t>(B) Has an estimated value that exceeds $500,000.</w:t>
      </w:r>
    </w:p>
    <w:p w:rsidR="00F70D9C" w:rsidRPr="000C758A" w:rsidRDefault="00F70D9C" w:rsidP="00E6575A">
      <w:pPr>
        <w:pStyle w:val="BodyText"/>
        <w:jc w:val="both"/>
        <w:rPr>
          <w:rFonts w:cs="Arial"/>
          <w:bCs/>
          <w:iCs/>
        </w:rPr>
      </w:pPr>
      <w:r w:rsidRPr="000C758A">
        <w:rPr>
          <w:rFonts w:cs="Arial"/>
          <w:bCs/>
          <w:iCs/>
        </w:rPr>
        <w:t>(2) If any subcontractor is required by this clause to submit a certification, the Contractor shall require submission prior to the award of the subcontract and annually thereafter. The certification shall cover the items in paragraph (h)(5) of this clause.</w:t>
      </w:r>
    </w:p>
    <w:p w:rsidR="00F70D9C" w:rsidRPr="000C758A" w:rsidRDefault="00F70D9C" w:rsidP="00E6575A">
      <w:pPr>
        <w:pStyle w:val="BodyText"/>
        <w:jc w:val="both"/>
        <w:rPr>
          <w:rFonts w:cs="Arial"/>
          <w:bCs/>
          <w:iCs/>
        </w:rPr>
      </w:pPr>
      <w:r w:rsidRPr="000C758A">
        <w:rPr>
          <w:rFonts w:cs="Arial"/>
          <w:bCs/>
          <w:iCs/>
        </w:rPr>
        <w:t>(End of clause).</w:t>
      </w:r>
    </w:p>
    <w:p w:rsidR="00F70D9C" w:rsidRPr="000C758A" w:rsidRDefault="00F70D9C" w:rsidP="005850CC">
      <w:pPr>
        <w:pStyle w:val="BodyText"/>
        <w:numPr>
          <w:ilvl w:val="0"/>
          <w:numId w:val="6"/>
        </w:numPr>
        <w:jc w:val="both"/>
        <w:rPr>
          <w:rFonts w:cs="Arial"/>
          <w:b/>
          <w:bCs/>
          <w:iCs/>
        </w:rPr>
      </w:pPr>
      <w:r w:rsidRPr="000C758A">
        <w:rPr>
          <w:rFonts w:cs="Arial"/>
          <w:b/>
          <w:bCs/>
          <w:iCs/>
        </w:rPr>
        <w:t>National Security Screening (Non-US Party Vetting):</w:t>
      </w:r>
    </w:p>
    <w:p w:rsidR="00F70D9C" w:rsidRPr="000C758A" w:rsidRDefault="00F70D9C" w:rsidP="00E6575A">
      <w:pPr>
        <w:pStyle w:val="BodyText"/>
        <w:jc w:val="both"/>
        <w:rPr>
          <w:rFonts w:cs="Arial"/>
          <w:bCs/>
          <w:iCs/>
        </w:rPr>
      </w:pPr>
      <w:r w:rsidRPr="000C758A">
        <w:rPr>
          <w:rFonts w:cs="Arial"/>
          <w:bCs/>
          <w:iCs/>
        </w:rPr>
        <w:t xml:space="preserve">The Purchase Order was awarded after following the procedures in the Implementing Partner Notice No. OAA-IP-2011-004 and subsequent Notices related to this matter which incorporated Mission Order No. 201.04 entitled, “National Security Screening (Non-US Party Vetting).  Copies of the Implementing Partner Notice(s) and the Mission Order can be obtained from the DAI's Representative named herein.  For awards that meet the Vetting threshold, USAID had issued an Eligibility Notice to DAI for the vendor prior awarding the Purchase Order.  This Eligibility Notice is valid for 12 months.   If the Purchase Order's Performance Period exceeds 12 months, the Vendor shall provide an updated information used in filing the Partner Information Form (PIF) to start a new vetting process to acquire a new Eligibility Notice for the Vendor.  Also, during the course of the 12 months, if the information provided by the vendor has changed, the Vendor shall notify DAI at once to update the Eligibility Notice issued for the Vendor. </w:t>
      </w:r>
    </w:p>
    <w:p w:rsidR="00F70D9C" w:rsidRPr="000C758A" w:rsidRDefault="00F70D9C" w:rsidP="005850CC">
      <w:pPr>
        <w:pStyle w:val="BodyText"/>
        <w:numPr>
          <w:ilvl w:val="0"/>
          <w:numId w:val="6"/>
        </w:numPr>
        <w:jc w:val="both"/>
        <w:rPr>
          <w:rFonts w:cs="Arial"/>
          <w:bCs/>
          <w:iCs/>
        </w:rPr>
      </w:pPr>
      <w:r w:rsidRPr="000C758A">
        <w:rPr>
          <w:rFonts w:cs="Arial"/>
          <w:b/>
          <w:bCs/>
          <w:iCs/>
        </w:rPr>
        <w:t>Certification Regarding Provision of Support to Persons Engaged in Terrorism</w:t>
      </w:r>
      <w:r w:rsidRPr="000C758A">
        <w:rPr>
          <w:rFonts w:cs="Arial"/>
          <w:bCs/>
          <w:iCs/>
        </w:rPr>
        <w:t>:</w:t>
      </w:r>
    </w:p>
    <w:p w:rsidR="00F70D9C" w:rsidRPr="000C758A" w:rsidRDefault="00F70D9C" w:rsidP="00E6575A">
      <w:pPr>
        <w:pStyle w:val="BodyText"/>
        <w:spacing w:after="0"/>
        <w:jc w:val="both"/>
        <w:rPr>
          <w:rFonts w:cs="Arial"/>
          <w:bCs/>
          <w:iCs/>
        </w:rPr>
      </w:pPr>
      <w:r w:rsidRPr="000C758A">
        <w:rPr>
          <w:rFonts w:cs="Arial"/>
          <w:bCs/>
          <w:iCs/>
        </w:rPr>
        <w:t>(a)</w:t>
      </w:r>
      <w:r w:rsidRPr="000C758A">
        <w:rPr>
          <w:rFonts w:cs="Arial"/>
          <w:bCs/>
          <w:iCs/>
        </w:rPr>
        <w:tab/>
        <w:t>By receiving this Purchase Order, the Vendor certifies, to the best of its knowledge and belief that:</w:t>
      </w:r>
    </w:p>
    <w:p w:rsidR="00F70D9C" w:rsidRPr="000C758A" w:rsidRDefault="00F70D9C" w:rsidP="00E6575A">
      <w:pPr>
        <w:pStyle w:val="BodyText"/>
        <w:spacing w:after="0"/>
        <w:jc w:val="both"/>
        <w:rPr>
          <w:rFonts w:cs="Arial"/>
          <w:bCs/>
          <w:iCs/>
        </w:rPr>
      </w:pPr>
      <w:r w:rsidRPr="000C758A">
        <w:rPr>
          <w:rFonts w:cs="Arial"/>
          <w:bCs/>
          <w:iCs/>
        </w:rPr>
        <w:t>(1)</w:t>
      </w:r>
      <w:r w:rsidRPr="000C758A">
        <w:rPr>
          <w:rFonts w:cs="Arial"/>
          <w:bCs/>
          <w:iCs/>
        </w:rPr>
        <w:tab/>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terrorism acts, or has committed, attempted to commit, facilitated, or participated in terrorist acts, as that term is defined in paragraph 3.</w:t>
      </w:r>
    </w:p>
    <w:p w:rsidR="00F70D9C" w:rsidRPr="000C758A" w:rsidRDefault="00F70D9C" w:rsidP="00E6575A">
      <w:pPr>
        <w:pStyle w:val="BodyText"/>
        <w:spacing w:after="0"/>
        <w:jc w:val="both"/>
        <w:rPr>
          <w:rFonts w:cs="Arial"/>
          <w:bCs/>
          <w:iCs/>
        </w:rPr>
      </w:pPr>
      <w:r w:rsidRPr="000C758A">
        <w:rPr>
          <w:rFonts w:cs="Arial"/>
          <w:bCs/>
          <w:iCs/>
        </w:rPr>
        <w:t>(2)</w:t>
      </w:r>
      <w:r w:rsidRPr="000C758A">
        <w:rPr>
          <w:rFonts w:cs="Arial"/>
          <w:bCs/>
          <w:iCs/>
        </w:rPr>
        <w:tab/>
        <w:t>The following steps may enable the Vendor to comply with its obligations under paragraph (1):</w:t>
      </w:r>
    </w:p>
    <w:p w:rsidR="00F70D9C" w:rsidRPr="000C758A" w:rsidRDefault="00F70D9C" w:rsidP="00E6575A">
      <w:pPr>
        <w:pStyle w:val="BodyText"/>
        <w:spacing w:after="0"/>
        <w:jc w:val="both"/>
        <w:rPr>
          <w:rFonts w:cs="Arial"/>
          <w:bCs/>
          <w:iCs/>
        </w:rPr>
      </w:pPr>
      <w:r w:rsidRPr="000C758A">
        <w:rPr>
          <w:rFonts w:cs="Arial"/>
          <w:bCs/>
          <w:iCs/>
        </w:rPr>
        <w:t>a.</w:t>
      </w:r>
      <w:r w:rsidRPr="000C758A">
        <w:rPr>
          <w:rFonts w:cs="Arial"/>
          <w:bCs/>
          <w:iCs/>
        </w:rPr>
        <w:tab/>
        <w:t xml:space="preserve">Before providing any material support or resources to an individual or entity, the </w:t>
      </w:r>
      <w:r w:rsidR="00D71608" w:rsidRPr="000C758A">
        <w:rPr>
          <w:rFonts w:cs="Arial"/>
          <w:bCs/>
          <w:iCs/>
        </w:rPr>
        <w:t>Vendor</w:t>
      </w:r>
      <w:r w:rsidRPr="000C758A">
        <w:rPr>
          <w:rFonts w:cs="Arial"/>
          <w:bCs/>
          <w:iCs/>
        </w:rPr>
        <w:t xml:space="preserve"> will verify that the individual or entity does not (</w:t>
      </w:r>
      <w:proofErr w:type="spellStart"/>
      <w:r w:rsidRPr="000C758A">
        <w:rPr>
          <w:rFonts w:cs="Arial"/>
          <w:bCs/>
          <w:iCs/>
        </w:rPr>
        <w:t>i</w:t>
      </w:r>
      <w:proofErr w:type="spellEnd"/>
      <w:r w:rsidRPr="000C758A">
        <w:rPr>
          <w:rFonts w:cs="Arial"/>
          <w:bCs/>
          <w:iCs/>
        </w:rPr>
        <w:t xml:space="preserve">) appear on the master list of Specially Designated nationals and Blocked Persons, which list is maintained by the U.S. Treasury’s  Office of Foreign Assets Control (OFAC) and is available online at OFAC’s website: </w:t>
      </w:r>
      <w:hyperlink r:id="rId26" w:history="1">
        <w:r w:rsidRPr="000C758A">
          <w:rPr>
            <w:rStyle w:val="Hyperlink"/>
            <w:rFonts w:cs="Arial"/>
            <w:bCs/>
            <w:iCs/>
          </w:rPr>
          <w:t>http://www.treas.gov/offices/eotffc/ofac/sdn/t11sdn.pdf</w:t>
        </w:r>
      </w:hyperlink>
      <w:r w:rsidRPr="000C758A">
        <w:rPr>
          <w:rFonts w:cs="Arial"/>
          <w:bCs/>
          <w:iCs/>
        </w:rPr>
        <w:t>, or (ii) is not included in any supplementary information concerning prohibited individuals or entities that may be provided by USAID to DAI.</w:t>
      </w:r>
    </w:p>
    <w:p w:rsidR="00F70D9C" w:rsidRPr="000C758A" w:rsidRDefault="00F70D9C" w:rsidP="00E6575A">
      <w:pPr>
        <w:pStyle w:val="BodyText"/>
        <w:spacing w:after="0"/>
        <w:jc w:val="both"/>
        <w:rPr>
          <w:rFonts w:cs="Arial"/>
          <w:bCs/>
          <w:iCs/>
        </w:rPr>
      </w:pPr>
      <w:r w:rsidRPr="000C758A">
        <w:rPr>
          <w:rFonts w:cs="Arial"/>
          <w:bCs/>
          <w:iCs/>
        </w:rPr>
        <w:t>b.</w:t>
      </w:r>
      <w:r w:rsidRPr="000C758A">
        <w:rPr>
          <w:rFonts w:cs="Arial"/>
          <w:bCs/>
          <w:iCs/>
        </w:rPr>
        <w:tab/>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Osama bin Laden, or the Al </w:t>
      </w:r>
      <w:proofErr w:type="spellStart"/>
      <w:r w:rsidRPr="000C758A">
        <w:rPr>
          <w:rFonts w:cs="Arial"/>
          <w:bCs/>
          <w:iCs/>
        </w:rPr>
        <w:t>Qaidia</w:t>
      </w:r>
      <w:proofErr w:type="spellEnd"/>
      <w:r w:rsidRPr="000C758A">
        <w:rPr>
          <w:rFonts w:cs="Arial"/>
          <w:bCs/>
          <w:iCs/>
        </w:rPr>
        <w:t xml:space="preserve"> Organization].   To determine whether there has been a published designation of an individual or entity by the 1267 Committee, the Subcontractor should refer to the consolidated list available online at the Committee’s website: </w:t>
      </w:r>
      <w:hyperlink r:id="rId27" w:history="1">
        <w:r w:rsidRPr="000C758A">
          <w:rPr>
            <w:rStyle w:val="Hyperlink"/>
            <w:rFonts w:cs="Arial"/>
            <w:bCs/>
            <w:iCs/>
          </w:rPr>
          <w:t>http://www.un.org/Docs/sc/committees/1267/1267ListEng.htm</w:t>
        </w:r>
      </w:hyperlink>
      <w:r w:rsidRPr="000C758A">
        <w:rPr>
          <w:rFonts w:cs="Arial"/>
          <w:bCs/>
          <w:iCs/>
        </w:rPr>
        <w:t>.</w:t>
      </w:r>
    </w:p>
    <w:p w:rsidR="00F70D9C" w:rsidRPr="000C758A" w:rsidRDefault="00F70D9C" w:rsidP="00E6575A">
      <w:pPr>
        <w:pStyle w:val="BodyText"/>
        <w:spacing w:after="0"/>
        <w:jc w:val="both"/>
        <w:rPr>
          <w:rFonts w:cs="Arial"/>
          <w:bCs/>
          <w:iCs/>
        </w:rPr>
      </w:pPr>
      <w:r w:rsidRPr="000C758A">
        <w:rPr>
          <w:rFonts w:cs="Arial"/>
          <w:bCs/>
          <w:iCs/>
        </w:rPr>
        <w:t>c.</w:t>
      </w:r>
      <w:r w:rsidRPr="000C758A">
        <w:rPr>
          <w:rFonts w:cs="Arial"/>
          <w:bCs/>
          <w:iCs/>
        </w:rPr>
        <w:tab/>
        <w:t xml:space="preserve">Before providing any material support or resources to an individual or entity, the </w:t>
      </w:r>
      <w:r w:rsidR="009E16B4" w:rsidRPr="000C758A">
        <w:rPr>
          <w:rFonts w:cs="Arial"/>
          <w:bCs/>
          <w:iCs/>
        </w:rPr>
        <w:t>Vendor</w:t>
      </w:r>
      <w:r w:rsidRPr="000C758A">
        <w:rPr>
          <w:rFonts w:cs="Arial"/>
          <w:bCs/>
          <w:iCs/>
        </w:rPr>
        <w:t xml:space="preserve"> will consider all information about that individual or entity of which it is aware and all public information that is reasonably available to it or of which it should be aware.</w:t>
      </w:r>
    </w:p>
    <w:p w:rsidR="00F70D9C" w:rsidRPr="000C758A" w:rsidRDefault="00F70D9C" w:rsidP="00E6575A">
      <w:pPr>
        <w:pStyle w:val="BodyText"/>
        <w:spacing w:after="0"/>
        <w:jc w:val="both"/>
        <w:rPr>
          <w:rFonts w:cs="Arial"/>
          <w:bCs/>
          <w:iCs/>
        </w:rPr>
      </w:pPr>
      <w:r w:rsidRPr="000C758A">
        <w:rPr>
          <w:rFonts w:cs="Arial"/>
          <w:bCs/>
          <w:iCs/>
        </w:rPr>
        <w:t>d.</w:t>
      </w:r>
      <w:r w:rsidRPr="000C758A">
        <w:rPr>
          <w:rFonts w:cs="Arial"/>
          <w:bCs/>
          <w:iCs/>
        </w:rPr>
        <w:tab/>
        <w:t>The Vendor also will implement reasonable monitoring and oversight procedures to safeguard against assistance being diverted to support terrorist activity.</w:t>
      </w:r>
    </w:p>
    <w:p w:rsidR="00F70D9C" w:rsidRPr="000C758A" w:rsidRDefault="00F70D9C" w:rsidP="00E6575A">
      <w:pPr>
        <w:pStyle w:val="BodyText"/>
        <w:jc w:val="both"/>
        <w:rPr>
          <w:rFonts w:cs="Arial"/>
          <w:bCs/>
          <w:iCs/>
        </w:rPr>
      </w:pPr>
      <w:r w:rsidRPr="000C758A">
        <w:rPr>
          <w:rFonts w:cs="Arial"/>
          <w:bCs/>
          <w:iCs/>
        </w:rPr>
        <w:t>(3)</w:t>
      </w:r>
      <w:r w:rsidRPr="000C758A">
        <w:rPr>
          <w:rFonts w:cs="Arial"/>
          <w:bCs/>
          <w:iCs/>
        </w:rPr>
        <w:tab/>
        <w:t>For the purpose of this Certification.</w:t>
      </w:r>
    </w:p>
    <w:p w:rsidR="00F70D9C" w:rsidRPr="000C758A" w:rsidRDefault="00F70D9C" w:rsidP="00E6575A">
      <w:pPr>
        <w:pStyle w:val="BodyText"/>
        <w:jc w:val="both"/>
        <w:rPr>
          <w:rFonts w:cs="Arial"/>
          <w:bCs/>
          <w:iCs/>
        </w:rPr>
      </w:pPr>
      <w:r w:rsidRPr="000C758A">
        <w:rPr>
          <w:rFonts w:cs="Arial"/>
          <w:bCs/>
          <w:iCs/>
        </w:rPr>
        <w:t>a.</w:t>
      </w:r>
      <w:r w:rsidRPr="000C758A">
        <w:rPr>
          <w:rFonts w:cs="Arial"/>
          <w:bCs/>
          <w:iCs/>
        </w:rPr>
        <w:tab/>
        <w:t xml:space="preserve">“Material support and resources” means currency or monetary instruments or financial securities, financial services, lodging, training, expert advice or assistance, </w:t>
      </w:r>
      <w:r w:rsidR="009E16B4" w:rsidRPr="000C758A">
        <w:rPr>
          <w:rFonts w:cs="Arial"/>
          <w:bCs/>
          <w:iCs/>
        </w:rPr>
        <w:t>safe houses</w:t>
      </w:r>
      <w:r w:rsidRPr="000C758A">
        <w:rPr>
          <w:rFonts w:cs="Arial"/>
          <w:bCs/>
          <w:iCs/>
        </w:rPr>
        <w:t>, false documentation or identification, communications equipment, facilities, weapons, lethal substances, explosives, personnel, transportation, and other physical assets, except medicine or religious materials.</w:t>
      </w:r>
    </w:p>
    <w:p w:rsidR="00F70D9C" w:rsidRPr="000C758A" w:rsidRDefault="00F70D9C" w:rsidP="00E6575A">
      <w:pPr>
        <w:pStyle w:val="BodyText"/>
        <w:jc w:val="both"/>
        <w:rPr>
          <w:rFonts w:cs="Arial"/>
          <w:bCs/>
          <w:iCs/>
        </w:rPr>
      </w:pPr>
      <w:r w:rsidRPr="000C758A">
        <w:rPr>
          <w:rFonts w:cs="Arial"/>
          <w:bCs/>
          <w:iCs/>
        </w:rPr>
        <w:t>b.</w:t>
      </w:r>
      <w:r w:rsidRPr="000C758A">
        <w:rPr>
          <w:rFonts w:cs="Arial"/>
          <w:bCs/>
          <w:iCs/>
        </w:rPr>
        <w:tab/>
        <w:t>“Terrorist act” means –</w:t>
      </w:r>
    </w:p>
    <w:p w:rsidR="00F70D9C" w:rsidRPr="000C758A" w:rsidRDefault="00F70D9C" w:rsidP="00E6575A">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w:t>
      </w:r>
      <w:r w:rsidRPr="000C758A">
        <w:rPr>
          <w:rFonts w:cs="Arial"/>
          <w:bCs/>
          <w:iCs/>
        </w:rPr>
        <w:tab/>
        <w:t xml:space="preserve">an act prohibited pursuant to one of the 12 United nations Conventions and Protocols related to terrorism (see UN terrorism conventions Internet site: </w:t>
      </w:r>
      <w:hyperlink r:id="rId28" w:history="1">
        <w:r w:rsidRPr="000C758A">
          <w:rPr>
            <w:rStyle w:val="Hyperlink"/>
            <w:rFonts w:cs="Arial"/>
            <w:bCs/>
            <w:iCs/>
          </w:rPr>
          <w:t>http://untreaty.un.org/English /Terrorism.asp</w:t>
        </w:r>
      </w:hyperlink>
      <w:r w:rsidRPr="000C758A">
        <w:rPr>
          <w:rFonts w:cs="Arial"/>
          <w:bCs/>
          <w:iCs/>
        </w:rPr>
        <w:t xml:space="preserve">); or </w:t>
      </w:r>
    </w:p>
    <w:p w:rsidR="00F70D9C" w:rsidRPr="000C758A" w:rsidRDefault="00F70D9C" w:rsidP="00E6575A">
      <w:pPr>
        <w:pStyle w:val="BodyText"/>
        <w:jc w:val="both"/>
        <w:rPr>
          <w:rFonts w:cs="Arial"/>
          <w:bCs/>
          <w:iCs/>
        </w:rPr>
      </w:pPr>
      <w:r w:rsidRPr="000C758A">
        <w:rPr>
          <w:rFonts w:cs="Arial"/>
          <w:bCs/>
          <w:iCs/>
        </w:rPr>
        <w:t>(ii)</w:t>
      </w:r>
      <w:r w:rsidRPr="000C758A">
        <w:rPr>
          <w:rFonts w:cs="Arial"/>
          <w:bCs/>
          <w:iCs/>
        </w:rPr>
        <w:tab/>
        <w:t xml:space="preserve">an act of premeditated, politically motivated violence perpetrated against noncombatant targets by sub-national groups or clandestine agents; or </w:t>
      </w:r>
    </w:p>
    <w:p w:rsidR="00F70D9C" w:rsidRPr="000C758A" w:rsidRDefault="00F70D9C" w:rsidP="00E6575A">
      <w:pPr>
        <w:pStyle w:val="BodyText"/>
        <w:spacing w:after="0"/>
        <w:jc w:val="both"/>
        <w:rPr>
          <w:rFonts w:cs="Arial"/>
          <w:bCs/>
          <w:iCs/>
        </w:rPr>
      </w:pPr>
      <w:r w:rsidRPr="000C758A">
        <w:rPr>
          <w:rFonts w:cs="Arial"/>
          <w:bCs/>
          <w:iCs/>
        </w:rPr>
        <w:t>(iii)</w:t>
      </w:r>
      <w:r w:rsidRPr="000C758A">
        <w:rPr>
          <w:rFonts w:cs="Arial"/>
          <w:bCs/>
          <w:iCs/>
        </w:rPr>
        <w:tab/>
        <w:t>any other person not taking an active part in hostilities in situations of armed conflict, when the purpose of such act, by its nature or context, is to intimidate a population, or to compel a government or an international organization to do or to abstain from doing any act.</w:t>
      </w:r>
    </w:p>
    <w:p w:rsidR="00F70D9C" w:rsidRPr="000C758A" w:rsidRDefault="00F70D9C" w:rsidP="00E6575A">
      <w:pPr>
        <w:pStyle w:val="BodyText"/>
        <w:spacing w:after="0"/>
        <w:jc w:val="both"/>
        <w:rPr>
          <w:rFonts w:cs="Arial"/>
          <w:bCs/>
          <w:iCs/>
        </w:rPr>
      </w:pPr>
      <w:r w:rsidRPr="000C758A">
        <w:rPr>
          <w:rFonts w:cs="Arial"/>
          <w:bCs/>
          <w:iCs/>
        </w:rPr>
        <w:t>c.</w:t>
      </w:r>
      <w:r w:rsidRPr="000C758A">
        <w:rPr>
          <w:rFonts w:cs="Arial"/>
          <w:bCs/>
          <w:iCs/>
        </w:rPr>
        <w:tab/>
        <w:t>“Entity” means a partnership, association, corporation, or other organization, group or subgroups.</w:t>
      </w:r>
    </w:p>
    <w:p w:rsidR="00F70D9C" w:rsidRPr="000C758A" w:rsidRDefault="00F70D9C" w:rsidP="00E6575A">
      <w:pPr>
        <w:pStyle w:val="BodyText"/>
        <w:jc w:val="both"/>
        <w:rPr>
          <w:rFonts w:cs="Arial"/>
          <w:bCs/>
          <w:iCs/>
        </w:rPr>
      </w:pPr>
      <w:r w:rsidRPr="000C758A">
        <w:rPr>
          <w:rFonts w:cs="Arial"/>
          <w:bCs/>
          <w:iCs/>
        </w:rPr>
        <w:t>d.</w:t>
      </w:r>
      <w:r w:rsidRPr="000C758A">
        <w:rPr>
          <w:rFonts w:cs="Arial"/>
          <w:bCs/>
          <w:iCs/>
        </w:rPr>
        <w:tab/>
        <w:t>Reference in this Certification to the provision of material support and resources shall not be deemed to include the furnishing of USAID funds or USAID-financed commodities to the unlimited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rsidR="00F70D9C" w:rsidRPr="000C758A" w:rsidRDefault="00F70D9C" w:rsidP="00E6575A">
      <w:pPr>
        <w:pStyle w:val="BodyText"/>
        <w:jc w:val="both"/>
        <w:rPr>
          <w:rFonts w:cs="Arial"/>
          <w:bCs/>
          <w:iCs/>
        </w:rPr>
      </w:pPr>
      <w:r w:rsidRPr="000C758A">
        <w:rPr>
          <w:rFonts w:cs="Arial"/>
          <w:bCs/>
          <w:iCs/>
        </w:rPr>
        <w:t>(b)</w:t>
      </w:r>
      <w:r w:rsidRPr="000C758A">
        <w:rPr>
          <w:rFonts w:cs="Arial"/>
          <w:bCs/>
          <w:iCs/>
        </w:rPr>
        <w:tab/>
        <w:t>By accepting or start performing this Purchase Order, the Vendor acknowledges that it has a continuing obligation and shall notify DAI within 72 hours in writing if it has intentionally or unintentionally taken any actions that have the result and effect of being inconsistent with the certification in subsection (a).</w:t>
      </w:r>
    </w:p>
    <w:p w:rsidR="00F70D9C" w:rsidRPr="000C758A" w:rsidRDefault="00F70D9C" w:rsidP="00E6575A">
      <w:pPr>
        <w:pStyle w:val="BodyText"/>
        <w:jc w:val="both"/>
        <w:rPr>
          <w:rFonts w:cs="Arial"/>
          <w:bCs/>
          <w:iCs/>
        </w:rPr>
      </w:pPr>
      <w:r w:rsidRPr="000C758A">
        <w:rPr>
          <w:rFonts w:cs="Arial"/>
          <w:bCs/>
          <w:iCs/>
        </w:rPr>
        <w:t>(c)</w:t>
      </w:r>
      <w:r w:rsidRPr="000C758A">
        <w:rPr>
          <w:rFonts w:cs="Arial"/>
          <w:bCs/>
          <w:iCs/>
        </w:rPr>
        <w:tab/>
        <w:t xml:space="preserve">The certification in paragraph (a) of this clause and the requirement to update DAI as to a change in status as set forth in paragraph (b) are representations upon which reliance was placed when making the award.  If it is later determined that the Vendor knowingly rendered an erroneous certification, or did not notify DAI in writing of a change in such certification, in addition to other remedies available to the U.S. Government and DAI, DAI may terminate this </w:t>
      </w:r>
      <w:r w:rsidR="00D71608" w:rsidRPr="000C758A">
        <w:rPr>
          <w:rFonts w:cs="Arial"/>
          <w:bCs/>
          <w:iCs/>
        </w:rPr>
        <w:t>sub award</w:t>
      </w:r>
      <w:r w:rsidRPr="000C758A">
        <w:rPr>
          <w:rFonts w:cs="Arial"/>
          <w:bCs/>
          <w:iCs/>
        </w:rPr>
        <w:t xml:space="preserve"> for default.  DAI may also cease payments due to the Vendor even if goods and services have been provided.</w:t>
      </w:r>
    </w:p>
    <w:p w:rsidR="00F70D9C" w:rsidRPr="000C758A" w:rsidRDefault="00F70D9C" w:rsidP="00E6575A">
      <w:pPr>
        <w:pStyle w:val="BodyText"/>
        <w:spacing w:after="0"/>
        <w:jc w:val="both"/>
        <w:rPr>
          <w:rFonts w:cs="Arial"/>
          <w:b/>
          <w:bCs/>
          <w:iCs/>
        </w:rPr>
      </w:pPr>
      <w:r w:rsidRPr="000C758A">
        <w:rPr>
          <w:rFonts w:cs="Arial"/>
          <w:b/>
          <w:bCs/>
          <w:iCs/>
        </w:rPr>
        <w:t>9. Restrictions on Certain Foreign Purchases (JUNE 2008)</w:t>
      </w:r>
      <w:r w:rsidRPr="000C758A">
        <w:rPr>
          <w:rFonts w:cs="Arial"/>
          <w:b/>
          <w:bCs/>
          <w:iCs/>
        </w:rPr>
        <w:tab/>
      </w:r>
    </w:p>
    <w:p w:rsidR="00F70D9C" w:rsidRPr="000C758A" w:rsidRDefault="00F70D9C" w:rsidP="00E6575A">
      <w:pPr>
        <w:pStyle w:val="BodyText"/>
        <w:jc w:val="both"/>
        <w:rPr>
          <w:rFonts w:cs="Arial"/>
          <w:bCs/>
          <w:iCs/>
        </w:rPr>
      </w:pPr>
      <w:r w:rsidRPr="000C758A">
        <w:rPr>
          <w:rFonts w:cs="Arial"/>
          <w:bCs/>
          <w:iCs/>
        </w:rPr>
        <w:lastRenderedPageBreak/>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rsidR="00F70D9C" w:rsidRPr="000C758A" w:rsidRDefault="00F70D9C" w:rsidP="00E6575A">
      <w:pPr>
        <w:pStyle w:val="BodyText"/>
        <w:jc w:val="both"/>
        <w:rPr>
          <w:rFonts w:cs="Arial"/>
          <w:bCs/>
          <w:iCs/>
        </w:rPr>
      </w:pPr>
      <w:r w:rsidRPr="000C758A">
        <w:rPr>
          <w:rFonts w:cs="Arial"/>
          <w:bCs/>
          <w:iCs/>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http:// </w:t>
      </w:r>
      <w:hyperlink r:id="rId29" w:history="1">
        <w:r w:rsidRPr="000C758A">
          <w:rPr>
            <w:rStyle w:val="Hyperlink"/>
            <w:rFonts w:cs="Arial"/>
            <w:bCs/>
            <w:iCs/>
          </w:rPr>
          <w:t>www.treas.gov/offices/enforcement/ofac/sdn</w:t>
        </w:r>
      </w:hyperlink>
      <w:r w:rsidRPr="000C758A">
        <w:rPr>
          <w:rFonts w:cs="Arial"/>
          <w:bCs/>
          <w:iCs/>
        </w:rPr>
        <w:t xml:space="preserve">. More information about these restrictions, as well as updates, is available in the OFAC's regulations at 31 CFR Chapter V and/or on OFAC's website at http:// </w:t>
      </w:r>
      <w:hyperlink r:id="rId30" w:history="1">
        <w:r w:rsidRPr="000C758A">
          <w:rPr>
            <w:rStyle w:val="Hyperlink"/>
            <w:rFonts w:cs="Arial"/>
            <w:bCs/>
            <w:iCs/>
          </w:rPr>
          <w:t>www.treas.gov/offices/enforcement/ofac</w:t>
        </w:r>
      </w:hyperlink>
      <w:r w:rsidRPr="000C758A">
        <w:rPr>
          <w:rFonts w:cs="Arial"/>
          <w:bCs/>
          <w:iCs/>
        </w:rPr>
        <w:t>.</w:t>
      </w:r>
    </w:p>
    <w:p w:rsidR="00F70D9C" w:rsidRPr="000C758A" w:rsidRDefault="00F70D9C" w:rsidP="00E6575A">
      <w:pPr>
        <w:pStyle w:val="BodyText"/>
        <w:jc w:val="both"/>
        <w:rPr>
          <w:rFonts w:cs="Arial"/>
          <w:bCs/>
          <w:iCs/>
        </w:rPr>
      </w:pPr>
      <w:r w:rsidRPr="000C758A">
        <w:rPr>
          <w:rFonts w:cs="Arial"/>
          <w:bCs/>
          <w:iCs/>
        </w:rPr>
        <w:t>(c) The Contractor shall insert this clause, including this paragraph (c), in all sub-contracts.</w:t>
      </w:r>
    </w:p>
    <w:p w:rsidR="00F70D9C" w:rsidRDefault="00F70D9C" w:rsidP="00E6575A">
      <w:pPr>
        <w:jc w:val="both"/>
        <w:rPr>
          <w:rFonts w:cs="Arial"/>
          <w:bCs/>
          <w:iCs/>
          <w:sz w:val="20"/>
          <w:szCs w:val="20"/>
        </w:rPr>
      </w:pPr>
      <w:r w:rsidRPr="000C758A">
        <w:rPr>
          <w:rFonts w:cs="Arial"/>
          <w:bCs/>
          <w:iCs/>
          <w:sz w:val="20"/>
          <w:szCs w:val="20"/>
        </w:rPr>
        <w:t>(d) Before awarding any grant or similar instrument, the Contractor/Recipient shall obtain from the proposed sub-awardee the certification required under USAID's Acquisition and Assistance Policy Determination 04-14 (AAPD 04-14), "Certification Regarding Terrorist Financing Implementation E.O. 13224 (Revision 2).</w:t>
      </w:r>
    </w:p>
    <w:p w:rsidR="00CD3B76" w:rsidRDefault="00CD3B76" w:rsidP="00E6575A">
      <w:pPr>
        <w:jc w:val="both"/>
        <w:rPr>
          <w:rFonts w:cs="Arial"/>
          <w:bCs/>
          <w:iCs/>
          <w:sz w:val="20"/>
          <w:szCs w:val="20"/>
        </w:rPr>
      </w:pPr>
    </w:p>
    <w:p w:rsidR="00185BF6" w:rsidRPr="00620243" w:rsidRDefault="00CD3B76" w:rsidP="00620243">
      <w:pPr>
        <w:jc w:val="both"/>
        <w:rPr>
          <w:b/>
          <w:color w:val="2E74B5"/>
          <w:sz w:val="20"/>
          <w:szCs w:val="20"/>
        </w:rPr>
      </w:pPr>
      <w:r>
        <w:rPr>
          <w:rFonts w:cs="Arial"/>
          <w:bCs/>
          <w:iCs/>
          <w:sz w:val="20"/>
          <w:szCs w:val="20"/>
        </w:rPr>
        <w:br w:type="page"/>
      </w:r>
      <w:bookmarkStart w:id="2" w:name="_Toc371432610"/>
      <w:r w:rsidR="00185BF6" w:rsidRPr="00620243">
        <w:rPr>
          <w:b/>
          <w:color w:val="2E74B5"/>
          <w:sz w:val="20"/>
          <w:szCs w:val="20"/>
        </w:rPr>
        <w:lastRenderedPageBreak/>
        <w:t>Attachment D: Proposal Checklist</w:t>
      </w:r>
      <w:bookmarkEnd w:id="2"/>
    </w:p>
    <w:p w:rsidR="00185BF6" w:rsidRPr="009F6F3A" w:rsidRDefault="00185BF6" w:rsidP="00185BF6">
      <w:pPr>
        <w:rPr>
          <w:sz w:val="20"/>
          <w:szCs w:val="20"/>
        </w:rPr>
      </w:pPr>
    </w:p>
    <w:p w:rsidR="00185BF6" w:rsidRPr="009F6F3A" w:rsidRDefault="00185BF6" w:rsidP="005850CC">
      <w:pPr>
        <w:numPr>
          <w:ilvl w:val="0"/>
          <w:numId w:val="9"/>
        </w:numPr>
        <w:rPr>
          <w:sz w:val="20"/>
          <w:szCs w:val="20"/>
        </w:rPr>
      </w:pPr>
      <w:proofErr w:type="spellStart"/>
      <w:r w:rsidRPr="009F6F3A">
        <w:rPr>
          <w:sz w:val="20"/>
          <w:szCs w:val="20"/>
        </w:rPr>
        <w:t>Offeror</w:t>
      </w:r>
      <w:proofErr w:type="spellEnd"/>
      <w:r w:rsidRPr="009F6F3A">
        <w:rPr>
          <w:sz w:val="20"/>
          <w:szCs w:val="20"/>
        </w:rPr>
        <w:t>: __________________________________________________________________________</w:t>
      </w:r>
    </w:p>
    <w:p w:rsidR="00185BF6" w:rsidRPr="009F6F3A" w:rsidRDefault="00185BF6" w:rsidP="005850CC">
      <w:pPr>
        <w:numPr>
          <w:ilvl w:val="0"/>
          <w:numId w:val="9"/>
        </w:numPr>
        <w:rPr>
          <w:sz w:val="20"/>
          <w:szCs w:val="20"/>
        </w:rPr>
      </w:pPr>
      <w:r w:rsidRPr="009F6F3A">
        <w:rPr>
          <w:sz w:val="20"/>
          <w:szCs w:val="20"/>
        </w:rPr>
        <w:t xml:space="preserve">Have you? </w:t>
      </w:r>
    </w:p>
    <w:p w:rsidR="00185BF6" w:rsidRPr="009F6F3A" w:rsidRDefault="00185BF6" w:rsidP="002D090C">
      <w:pPr>
        <w:ind w:left="720" w:hanging="720"/>
        <w:rPr>
          <w:sz w:val="20"/>
          <w:szCs w:val="20"/>
        </w:rPr>
      </w:pPr>
      <w:r w:rsidRPr="009F6F3A">
        <w:rPr>
          <w:sz w:val="20"/>
          <w:szCs w:val="20"/>
        </w:rPr>
        <w:fldChar w:fldCharType="begin">
          <w:ffData>
            <w:name w:val="Check1"/>
            <w:enabled/>
            <w:calcOnExit w:val="0"/>
            <w:checkBox>
              <w:sizeAuto/>
              <w:default w:val="0"/>
            </w:checkBox>
          </w:ffData>
        </w:fldChar>
      </w:r>
      <w:r w:rsidRPr="009F6F3A">
        <w:rPr>
          <w:sz w:val="20"/>
          <w:szCs w:val="20"/>
        </w:rPr>
        <w:instrText xml:space="preserve"> FORMCHECKBOX </w:instrText>
      </w:r>
      <w:r w:rsidR="00AA6365">
        <w:rPr>
          <w:sz w:val="20"/>
          <w:szCs w:val="20"/>
        </w:rPr>
      </w:r>
      <w:r w:rsidR="00AA6365">
        <w:rPr>
          <w:sz w:val="20"/>
          <w:szCs w:val="20"/>
        </w:rPr>
        <w:fldChar w:fldCharType="separate"/>
      </w:r>
      <w:r w:rsidRPr="009F6F3A">
        <w:rPr>
          <w:sz w:val="20"/>
          <w:szCs w:val="20"/>
        </w:rPr>
        <w:fldChar w:fldCharType="end"/>
      </w:r>
      <w:r w:rsidRPr="009F6F3A">
        <w:rPr>
          <w:sz w:val="20"/>
          <w:szCs w:val="20"/>
        </w:rPr>
        <w:tab/>
        <w:t xml:space="preserve">Submitted your proposal to DAI/RADP-E to </w:t>
      </w:r>
      <w:hyperlink r:id="rId31" w:history="1">
        <w:r w:rsidRPr="009F6F3A">
          <w:rPr>
            <w:sz w:val="20"/>
            <w:szCs w:val="20"/>
          </w:rPr>
          <w:t>ProcurementRADP_East_Inbox@dai.com</w:t>
        </w:r>
      </w:hyperlink>
      <w:r w:rsidRPr="009F6F3A">
        <w:rPr>
          <w:sz w:val="20"/>
          <w:szCs w:val="20"/>
        </w:rPr>
        <w:t xml:space="preserve"> as specified in General Instructions above?</w:t>
      </w:r>
    </w:p>
    <w:p w:rsidR="00185BF6" w:rsidRPr="009F6F3A" w:rsidRDefault="00185BF6" w:rsidP="005850CC">
      <w:pPr>
        <w:numPr>
          <w:ilvl w:val="0"/>
          <w:numId w:val="9"/>
        </w:numPr>
        <w:rPr>
          <w:sz w:val="20"/>
          <w:szCs w:val="20"/>
        </w:rPr>
      </w:pPr>
      <w:r>
        <w:rPr>
          <w:sz w:val="20"/>
          <w:szCs w:val="20"/>
        </w:rPr>
        <w:t>The proposal must have the following.</w:t>
      </w:r>
      <w:r w:rsidRPr="009F6F3A">
        <w:rPr>
          <w:sz w:val="20"/>
          <w:szCs w:val="20"/>
        </w:rPr>
        <w:t xml:space="preserve"> </w:t>
      </w:r>
    </w:p>
    <w:p w:rsidR="00185BF6" w:rsidRPr="00BB2758" w:rsidRDefault="00185BF6" w:rsidP="00BB2758">
      <w:pPr>
        <w:ind w:left="720" w:hanging="720"/>
        <w:rPr>
          <w:sz w:val="20"/>
          <w:szCs w:val="20"/>
        </w:rPr>
      </w:pPr>
      <w:r w:rsidRPr="009F6F3A">
        <w:rPr>
          <w:sz w:val="20"/>
          <w:szCs w:val="20"/>
        </w:rPr>
        <w:fldChar w:fldCharType="begin">
          <w:ffData>
            <w:name w:val="Check10"/>
            <w:enabled/>
            <w:calcOnExit w:val="0"/>
            <w:checkBox>
              <w:sizeAuto/>
              <w:default w:val="0"/>
            </w:checkBox>
          </w:ffData>
        </w:fldChar>
      </w:r>
      <w:r w:rsidRPr="009F6F3A">
        <w:rPr>
          <w:sz w:val="20"/>
          <w:szCs w:val="20"/>
        </w:rPr>
        <w:instrText xml:space="preserve"> FORMCHECKBOX </w:instrText>
      </w:r>
      <w:r w:rsidR="00AA6365">
        <w:rPr>
          <w:sz w:val="20"/>
          <w:szCs w:val="20"/>
        </w:rPr>
      </w:r>
      <w:r w:rsidR="00AA6365">
        <w:rPr>
          <w:sz w:val="20"/>
          <w:szCs w:val="20"/>
        </w:rPr>
        <w:fldChar w:fldCharType="separate"/>
      </w:r>
      <w:r w:rsidRPr="009F6F3A">
        <w:rPr>
          <w:sz w:val="20"/>
          <w:szCs w:val="20"/>
        </w:rPr>
        <w:fldChar w:fldCharType="end"/>
      </w:r>
      <w:r w:rsidRPr="009F6F3A">
        <w:rPr>
          <w:sz w:val="20"/>
          <w:szCs w:val="20"/>
        </w:rPr>
        <w:tab/>
      </w:r>
      <w:r w:rsidR="002D50ED" w:rsidRPr="002D50ED">
        <w:rPr>
          <w:sz w:val="20"/>
          <w:szCs w:val="20"/>
        </w:rPr>
        <w:t>Signed Price Schedule (use template in Attachment A, include the delivery period and the cover letter template) if different from the specification given in the attachment A, bidder must provide full detail and specification on their official letter.</w:t>
      </w:r>
    </w:p>
    <w:p w:rsidR="00185BF6" w:rsidRPr="009F6F3A" w:rsidRDefault="00185BF6" w:rsidP="00185BF6">
      <w:pPr>
        <w:rPr>
          <w:sz w:val="20"/>
          <w:szCs w:val="20"/>
        </w:rPr>
      </w:pPr>
      <w:r w:rsidRPr="009F6F3A">
        <w:rPr>
          <w:sz w:val="20"/>
          <w:szCs w:val="20"/>
        </w:rPr>
        <w:fldChar w:fldCharType="begin">
          <w:ffData>
            <w:name w:val="Check9"/>
            <w:enabled/>
            <w:calcOnExit w:val="0"/>
            <w:checkBox>
              <w:sizeAuto/>
              <w:default w:val="0"/>
            </w:checkBox>
          </w:ffData>
        </w:fldChar>
      </w:r>
      <w:r w:rsidRPr="009F6F3A">
        <w:rPr>
          <w:sz w:val="20"/>
          <w:szCs w:val="20"/>
        </w:rPr>
        <w:instrText xml:space="preserve"> FORMCHECKBOX </w:instrText>
      </w:r>
      <w:r w:rsidR="00AA6365">
        <w:rPr>
          <w:sz w:val="20"/>
          <w:szCs w:val="20"/>
        </w:rPr>
      </w:r>
      <w:r w:rsidR="00AA6365">
        <w:rPr>
          <w:sz w:val="20"/>
          <w:szCs w:val="20"/>
        </w:rPr>
        <w:fldChar w:fldCharType="separate"/>
      </w:r>
      <w:r w:rsidRPr="009F6F3A">
        <w:rPr>
          <w:sz w:val="20"/>
          <w:szCs w:val="20"/>
        </w:rPr>
        <w:fldChar w:fldCharType="end"/>
      </w:r>
      <w:r>
        <w:rPr>
          <w:sz w:val="20"/>
          <w:szCs w:val="20"/>
        </w:rPr>
        <w:tab/>
        <w:t xml:space="preserve">Copy of current and valid business </w:t>
      </w:r>
      <w:r w:rsidRPr="009F6F3A">
        <w:rPr>
          <w:sz w:val="20"/>
          <w:szCs w:val="20"/>
        </w:rPr>
        <w:t xml:space="preserve">license </w:t>
      </w:r>
      <w:r>
        <w:rPr>
          <w:sz w:val="20"/>
          <w:szCs w:val="20"/>
        </w:rPr>
        <w:t>from Ministry of Commerce and Industry to operate.</w:t>
      </w:r>
    </w:p>
    <w:p w:rsidR="00185BF6" w:rsidRPr="009F6F3A" w:rsidRDefault="00185BF6" w:rsidP="00185BF6">
      <w:pPr>
        <w:rPr>
          <w:sz w:val="20"/>
          <w:szCs w:val="20"/>
        </w:rPr>
      </w:pPr>
      <w:r w:rsidRPr="009F6F3A">
        <w:rPr>
          <w:sz w:val="20"/>
          <w:szCs w:val="20"/>
        </w:rPr>
        <w:fldChar w:fldCharType="begin">
          <w:ffData>
            <w:name w:val="Check6"/>
            <w:enabled/>
            <w:calcOnExit w:val="0"/>
            <w:checkBox>
              <w:sizeAuto/>
              <w:default w:val="0"/>
            </w:checkBox>
          </w:ffData>
        </w:fldChar>
      </w:r>
      <w:r w:rsidRPr="009F6F3A">
        <w:rPr>
          <w:sz w:val="20"/>
          <w:szCs w:val="20"/>
        </w:rPr>
        <w:instrText xml:space="preserve"> FORMCHECKBOX </w:instrText>
      </w:r>
      <w:r w:rsidR="00AA6365">
        <w:rPr>
          <w:sz w:val="20"/>
          <w:szCs w:val="20"/>
        </w:rPr>
      </w:r>
      <w:r w:rsidR="00AA6365">
        <w:rPr>
          <w:sz w:val="20"/>
          <w:szCs w:val="20"/>
        </w:rPr>
        <w:fldChar w:fldCharType="separate"/>
      </w:r>
      <w:r w:rsidRPr="009F6F3A">
        <w:rPr>
          <w:sz w:val="20"/>
          <w:szCs w:val="20"/>
        </w:rPr>
        <w:fldChar w:fldCharType="end"/>
      </w:r>
      <w:r w:rsidRPr="009F6F3A">
        <w:rPr>
          <w:sz w:val="20"/>
          <w:szCs w:val="20"/>
        </w:rPr>
        <w:tab/>
        <w:t>Evidence of a DUNS Number, if applicable</w:t>
      </w:r>
    </w:p>
    <w:p w:rsidR="000E00DA" w:rsidRPr="000C758A" w:rsidRDefault="00185BF6" w:rsidP="00185BF6">
      <w:pPr>
        <w:rPr>
          <w:sz w:val="20"/>
          <w:szCs w:val="20"/>
        </w:rPr>
      </w:pPr>
      <w:r w:rsidRPr="009F6F3A">
        <w:rPr>
          <w:sz w:val="20"/>
          <w:szCs w:val="20"/>
        </w:rPr>
        <w:fldChar w:fldCharType="begin">
          <w:ffData>
            <w:name w:val="Check6"/>
            <w:enabled/>
            <w:calcOnExit w:val="0"/>
            <w:checkBox>
              <w:sizeAuto/>
              <w:default w:val="0"/>
            </w:checkBox>
          </w:ffData>
        </w:fldChar>
      </w:r>
      <w:r w:rsidRPr="009F6F3A">
        <w:rPr>
          <w:sz w:val="20"/>
          <w:szCs w:val="20"/>
        </w:rPr>
        <w:instrText xml:space="preserve"> FORMCHECKBOX </w:instrText>
      </w:r>
      <w:r w:rsidR="00AA6365">
        <w:rPr>
          <w:sz w:val="20"/>
          <w:szCs w:val="20"/>
        </w:rPr>
      </w:r>
      <w:r w:rsidR="00AA6365">
        <w:rPr>
          <w:sz w:val="20"/>
          <w:szCs w:val="20"/>
        </w:rPr>
        <w:fldChar w:fldCharType="separate"/>
      </w:r>
      <w:r w:rsidRPr="009F6F3A">
        <w:rPr>
          <w:sz w:val="20"/>
          <w:szCs w:val="20"/>
        </w:rPr>
        <w:fldChar w:fldCharType="end"/>
      </w:r>
      <w:r w:rsidRPr="009F6F3A">
        <w:rPr>
          <w:sz w:val="20"/>
          <w:szCs w:val="20"/>
        </w:rPr>
        <w:tab/>
        <w:t>Attachment B: Past Performance Chart</w:t>
      </w:r>
    </w:p>
    <w:sectPr w:rsidR="000E00DA" w:rsidRPr="000C758A" w:rsidSect="00620243">
      <w:pgSz w:w="12240" w:h="15840" w:code="1"/>
      <w:pgMar w:top="1440" w:right="135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65" w:rsidRDefault="00AA6365">
      <w:r>
        <w:separator/>
      </w:r>
    </w:p>
  </w:endnote>
  <w:endnote w:type="continuationSeparator" w:id="0">
    <w:p w:rsidR="00AA6365" w:rsidRDefault="00AA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65" w:rsidRDefault="00AA6365">
      <w:r>
        <w:separator/>
      </w:r>
    </w:p>
  </w:footnote>
  <w:footnote w:type="continuationSeparator" w:id="0">
    <w:p w:rsidR="00AA6365" w:rsidRDefault="00AA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CB" w:rsidRPr="009B212F" w:rsidRDefault="00AB4CCB" w:rsidP="001E7865">
    <w:pPr>
      <w:pStyle w:val="Header"/>
      <w:tabs>
        <w:tab w:val="clear" w:pos="4320"/>
        <w:tab w:val="clear" w:pos="8640"/>
        <w:tab w:val="left" w:pos="16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A68"/>
    <w:multiLevelType w:val="hybridMultilevel"/>
    <w:tmpl w:val="95069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876"/>
    <w:multiLevelType w:val="hybridMultilevel"/>
    <w:tmpl w:val="17043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C481D"/>
    <w:multiLevelType w:val="hybridMultilevel"/>
    <w:tmpl w:val="AAC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1BCE"/>
    <w:multiLevelType w:val="hybridMultilevel"/>
    <w:tmpl w:val="B06C9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B922EE"/>
    <w:multiLevelType w:val="hybridMultilevel"/>
    <w:tmpl w:val="E6946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D171C"/>
    <w:multiLevelType w:val="hybridMultilevel"/>
    <w:tmpl w:val="8E0270F6"/>
    <w:lvl w:ilvl="0" w:tplc="63BA50C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02132"/>
    <w:multiLevelType w:val="hybridMultilevel"/>
    <w:tmpl w:val="98AA5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F4011"/>
    <w:multiLevelType w:val="hybridMultilevel"/>
    <w:tmpl w:val="A2227C02"/>
    <w:lvl w:ilvl="0" w:tplc="1DDA7A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B201710"/>
    <w:multiLevelType w:val="hybridMultilevel"/>
    <w:tmpl w:val="0A829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7E79"/>
    <w:multiLevelType w:val="hybridMultilevel"/>
    <w:tmpl w:val="9A1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41CE8"/>
    <w:multiLevelType w:val="multilevel"/>
    <w:tmpl w:val="8E340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35590A"/>
    <w:multiLevelType w:val="hybridMultilevel"/>
    <w:tmpl w:val="2A7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97139"/>
    <w:multiLevelType w:val="hybridMultilevel"/>
    <w:tmpl w:val="7D9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B03E8"/>
    <w:multiLevelType w:val="hybridMultilevel"/>
    <w:tmpl w:val="055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06B58"/>
    <w:multiLevelType w:val="hybridMultilevel"/>
    <w:tmpl w:val="D51E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332DEA"/>
    <w:multiLevelType w:val="hybridMultilevel"/>
    <w:tmpl w:val="C84CB378"/>
    <w:lvl w:ilvl="0" w:tplc="F38A9EC8">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C4F56"/>
    <w:multiLevelType w:val="hybridMultilevel"/>
    <w:tmpl w:val="DE4A5ABA"/>
    <w:lvl w:ilvl="0" w:tplc="66FAFED8">
      <w:numFmt w:val="bullet"/>
      <w:lvlText w:val="•"/>
      <w:lvlJc w:val="left"/>
      <w:pPr>
        <w:ind w:left="720" w:hanging="360"/>
      </w:pPr>
      <w:rPr>
        <w:rFonts w:ascii="Calibri" w:eastAsia="Calibri" w:hAnsi="Calibri" w:cs="Calibri" w:hint="default"/>
      </w:rPr>
    </w:lvl>
    <w:lvl w:ilvl="1" w:tplc="66FAFED8">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629BB"/>
    <w:multiLevelType w:val="hybridMultilevel"/>
    <w:tmpl w:val="CF928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14D15"/>
    <w:multiLevelType w:val="hybridMultilevel"/>
    <w:tmpl w:val="29CA728A"/>
    <w:lvl w:ilvl="0" w:tplc="1C9009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6405F"/>
    <w:multiLevelType w:val="hybridMultilevel"/>
    <w:tmpl w:val="6BF892C0"/>
    <w:lvl w:ilvl="0" w:tplc="66FAFED8">
      <w:numFmt w:val="bullet"/>
      <w:lvlText w:val="•"/>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7"/>
  </w:num>
  <w:num w:numId="4">
    <w:abstractNumId w:val="4"/>
  </w:num>
  <w:num w:numId="5">
    <w:abstractNumId w:val="8"/>
  </w:num>
  <w:num w:numId="6">
    <w:abstractNumId w:val="6"/>
  </w:num>
  <w:num w:numId="7">
    <w:abstractNumId w:val="19"/>
  </w:num>
  <w:num w:numId="8">
    <w:abstractNumId w:val="11"/>
  </w:num>
  <w:num w:numId="9">
    <w:abstractNumId w:val="17"/>
  </w:num>
  <w:num w:numId="10">
    <w:abstractNumId w:val="18"/>
  </w:num>
  <w:num w:numId="11">
    <w:abstractNumId w:val="2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2"/>
  </w:num>
  <w:num w:numId="16">
    <w:abstractNumId w:val="20"/>
  </w:num>
  <w:num w:numId="17">
    <w:abstractNumId w:val="13"/>
  </w:num>
  <w:num w:numId="18">
    <w:abstractNumId w:val="16"/>
  </w:num>
  <w:num w:numId="19">
    <w:abstractNumId w:val="1"/>
  </w:num>
  <w:num w:numId="20">
    <w:abstractNumId w:val="14"/>
  </w:num>
  <w:num w:numId="21">
    <w:abstractNumId w:val="5"/>
  </w:num>
  <w:num w:numId="22">
    <w:abstractNumId w:val="10"/>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zMDCztDQyNDSyNDBS0lEKTi0uzszPAykwqQUAXpUJYCwAAAA="/>
  </w:docVars>
  <w:rsids>
    <w:rsidRoot w:val="003307CC"/>
    <w:rsid w:val="0000045F"/>
    <w:rsid w:val="00001905"/>
    <w:rsid w:val="00005FD0"/>
    <w:rsid w:val="00011633"/>
    <w:rsid w:val="000120D3"/>
    <w:rsid w:val="00014835"/>
    <w:rsid w:val="000213E4"/>
    <w:rsid w:val="00021F45"/>
    <w:rsid w:val="00022985"/>
    <w:rsid w:val="00023894"/>
    <w:rsid w:val="00024438"/>
    <w:rsid w:val="000245BC"/>
    <w:rsid w:val="00024F07"/>
    <w:rsid w:val="00024F80"/>
    <w:rsid w:val="00025966"/>
    <w:rsid w:val="00026C2C"/>
    <w:rsid w:val="00026CD8"/>
    <w:rsid w:val="00027145"/>
    <w:rsid w:val="00030072"/>
    <w:rsid w:val="000306EB"/>
    <w:rsid w:val="00032303"/>
    <w:rsid w:val="00034551"/>
    <w:rsid w:val="0003521B"/>
    <w:rsid w:val="00035C30"/>
    <w:rsid w:val="00037FDE"/>
    <w:rsid w:val="00041128"/>
    <w:rsid w:val="000416E5"/>
    <w:rsid w:val="00042201"/>
    <w:rsid w:val="00043079"/>
    <w:rsid w:val="0004387C"/>
    <w:rsid w:val="00043CD4"/>
    <w:rsid w:val="000441E1"/>
    <w:rsid w:val="00045D80"/>
    <w:rsid w:val="000468F1"/>
    <w:rsid w:val="0004710A"/>
    <w:rsid w:val="0004712B"/>
    <w:rsid w:val="0004760E"/>
    <w:rsid w:val="00047694"/>
    <w:rsid w:val="0005116C"/>
    <w:rsid w:val="000512C0"/>
    <w:rsid w:val="00051543"/>
    <w:rsid w:val="000553FF"/>
    <w:rsid w:val="0005542B"/>
    <w:rsid w:val="00055FF8"/>
    <w:rsid w:val="00056397"/>
    <w:rsid w:val="00063233"/>
    <w:rsid w:val="00063CF0"/>
    <w:rsid w:val="00065EAE"/>
    <w:rsid w:val="000700F3"/>
    <w:rsid w:val="000722C4"/>
    <w:rsid w:val="000739A9"/>
    <w:rsid w:val="000745D2"/>
    <w:rsid w:val="0007478D"/>
    <w:rsid w:val="00074D17"/>
    <w:rsid w:val="00075143"/>
    <w:rsid w:val="000767BF"/>
    <w:rsid w:val="00081A64"/>
    <w:rsid w:val="00081FFB"/>
    <w:rsid w:val="00086C44"/>
    <w:rsid w:val="000878FA"/>
    <w:rsid w:val="0009085C"/>
    <w:rsid w:val="00090F99"/>
    <w:rsid w:val="000915EB"/>
    <w:rsid w:val="00091B88"/>
    <w:rsid w:val="0009344E"/>
    <w:rsid w:val="00095BC1"/>
    <w:rsid w:val="000967A4"/>
    <w:rsid w:val="00097985"/>
    <w:rsid w:val="000A21FD"/>
    <w:rsid w:val="000A24A3"/>
    <w:rsid w:val="000A3D66"/>
    <w:rsid w:val="000A5553"/>
    <w:rsid w:val="000A557C"/>
    <w:rsid w:val="000A5C1E"/>
    <w:rsid w:val="000A6C06"/>
    <w:rsid w:val="000A7DCB"/>
    <w:rsid w:val="000B04E6"/>
    <w:rsid w:val="000B12B7"/>
    <w:rsid w:val="000B1E46"/>
    <w:rsid w:val="000B49B5"/>
    <w:rsid w:val="000B51C0"/>
    <w:rsid w:val="000B55B2"/>
    <w:rsid w:val="000B58E9"/>
    <w:rsid w:val="000B5CEC"/>
    <w:rsid w:val="000B5E69"/>
    <w:rsid w:val="000B691B"/>
    <w:rsid w:val="000B6BA9"/>
    <w:rsid w:val="000B7E4C"/>
    <w:rsid w:val="000C0BC2"/>
    <w:rsid w:val="000C1C9F"/>
    <w:rsid w:val="000C222A"/>
    <w:rsid w:val="000C230A"/>
    <w:rsid w:val="000C3062"/>
    <w:rsid w:val="000C3395"/>
    <w:rsid w:val="000C3784"/>
    <w:rsid w:val="000C390F"/>
    <w:rsid w:val="000C3B12"/>
    <w:rsid w:val="000C5162"/>
    <w:rsid w:val="000C554C"/>
    <w:rsid w:val="000C690D"/>
    <w:rsid w:val="000C69C0"/>
    <w:rsid w:val="000C758A"/>
    <w:rsid w:val="000D0651"/>
    <w:rsid w:val="000D0839"/>
    <w:rsid w:val="000D0C2D"/>
    <w:rsid w:val="000D13D1"/>
    <w:rsid w:val="000D24B7"/>
    <w:rsid w:val="000D2AE8"/>
    <w:rsid w:val="000D42F9"/>
    <w:rsid w:val="000D5B0C"/>
    <w:rsid w:val="000D5EB3"/>
    <w:rsid w:val="000E00DA"/>
    <w:rsid w:val="000E2218"/>
    <w:rsid w:val="000E287B"/>
    <w:rsid w:val="000E3BA7"/>
    <w:rsid w:val="000E430A"/>
    <w:rsid w:val="000E4493"/>
    <w:rsid w:val="000E4C52"/>
    <w:rsid w:val="000E5AC7"/>
    <w:rsid w:val="000E6832"/>
    <w:rsid w:val="000E6945"/>
    <w:rsid w:val="000E6D3D"/>
    <w:rsid w:val="000E7550"/>
    <w:rsid w:val="000F105F"/>
    <w:rsid w:val="000F1332"/>
    <w:rsid w:val="000F1E77"/>
    <w:rsid w:val="000F2024"/>
    <w:rsid w:val="000F2078"/>
    <w:rsid w:val="000F29F5"/>
    <w:rsid w:val="000F33BE"/>
    <w:rsid w:val="000F393D"/>
    <w:rsid w:val="000F3AFC"/>
    <w:rsid w:val="000F3B5C"/>
    <w:rsid w:val="000F501A"/>
    <w:rsid w:val="000F5279"/>
    <w:rsid w:val="000F53F7"/>
    <w:rsid w:val="000F7B38"/>
    <w:rsid w:val="001028DB"/>
    <w:rsid w:val="00104D3F"/>
    <w:rsid w:val="001065DE"/>
    <w:rsid w:val="00106C68"/>
    <w:rsid w:val="00106DB8"/>
    <w:rsid w:val="00107150"/>
    <w:rsid w:val="00107E65"/>
    <w:rsid w:val="00111017"/>
    <w:rsid w:val="00112185"/>
    <w:rsid w:val="00112D2F"/>
    <w:rsid w:val="00112E70"/>
    <w:rsid w:val="00113CF5"/>
    <w:rsid w:val="0011450B"/>
    <w:rsid w:val="001179FF"/>
    <w:rsid w:val="00125F61"/>
    <w:rsid w:val="00127CE4"/>
    <w:rsid w:val="00127D80"/>
    <w:rsid w:val="001323B1"/>
    <w:rsid w:val="00134146"/>
    <w:rsid w:val="00134C3B"/>
    <w:rsid w:val="001358A7"/>
    <w:rsid w:val="00135B6C"/>
    <w:rsid w:val="00136F6C"/>
    <w:rsid w:val="00137B03"/>
    <w:rsid w:val="00137CFC"/>
    <w:rsid w:val="0014020E"/>
    <w:rsid w:val="00140C37"/>
    <w:rsid w:val="001411BD"/>
    <w:rsid w:val="00141327"/>
    <w:rsid w:val="001478F7"/>
    <w:rsid w:val="00147A26"/>
    <w:rsid w:val="001503FE"/>
    <w:rsid w:val="0015073F"/>
    <w:rsid w:val="00150B01"/>
    <w:rsid w:val="00151DA7"/>
    <w:rsid w:val="0015247B"/>
    <w:rsid w:val="00152F4C"/>
    <w:rsid w:val="00154197"/>
    <w:rsid w:val="00154500"/>
    <w:rsid w:val="001547A1"/>
    <w:rsid w:val="00155CC2"/>
    <w:rsid w:val="0015731E"/>
    <w:rsid w:val="00157F1F"/>
    <w:rsid w:val="001607EB"/>
    <w:rsid w:val="00160E72"/>
    <w:rsid w:val="00161274"/>
    <w:rsid w:val="0016459F"/>
    <w:rsid w:val="0016546E"/>
    <w:rsid w:val="0016562A"/>
    <w:rsid w:val="00165A09"/>
    <w:rsid w:val="00170D6C"/>
    <w:rsid w:val="00170DF8"/>
    <w:rsid w:val="001725F2"/>
    <w:rsid w:val="00172703"/>
    <w:rsid w:val="001749AD"/>
    <w:rsid w:val="001760FD"/>
    <w:rsid w:val="00180F5D"/>
    <w:rsid w:val="0018111B"/>
    <w:rsid w:val="0018177A"/>
    <w:rsid w:val="00181BCE"/>
    <w:rsid w:val="00181E82"/>
    <w:rsid w:val="00182518"/>
    <w:rsid w:val="00182752"/>
    <w:rsid w:val="00185BF6"/>
    <w:rsid w:val="001866AD"/>
    <w:rsid w:val="00186F94"/>
    <w:rsid w:val="00187153"/>
    <w:rsid w:val="00190209"/>
    <w:rsid w:val="0019024E"/>
    <w:rsid w:val="0019084F"/>
    <w:rsid w:val="0019215C"/>
    <w:rsid w:val="00193668"/>
    <w:rsid w:val="0019649A"/>
    <w:rsid w:val="00197171"/>
    <w:rsid w:val="001A1BEC"/>
    <w:rsid w:val="001A1E77"/>
    <w:rsid w:val="001A53CF"/>
    <w:rsid w:val="001A5668"/>
    <w:rsid w:val="001A63D8"/>
    <w:rsid w:val="001A7575"/>
    <w:rsid w:val="001A7BDB"/>
    <w:rsid w:val="001B0FC5"/>
    <w:rsid w:val="001B33D1"/>
    <w:rsid w:val="001B47FA"/>
    <w:rsid w:val="001C0032"/>
    <w:rsid w:val="001C14BA"/>
    <w:rsid w:val="001C1B2F"/>
    <w:rsid w:val="001C26BE"/>
    <w:rsid w:val="001C4DAB"/>
    <w:rsid w:val="001C51FB"/>
    <w:rsid w:val="001C5AFB"/>
    <w:rsid w:val="001C671C"/>
    <w:rsid w:val="001D199E"/>
    <w:rsid w:val="001D3461"/>
    <w:rsid w:val="001D3A66"/>
    <w:rsid w:val="001D3F71"/>
    <w:rsid w:val="001D42F8"/>
    <w:rsid w:val="001D7F62"/>
    <w:rsid w:val="001E0764"/>
    <w:rsid w:val="001E09C8"/>
    <w:rsid w:val="001E1BB4"/>
    <w:rsid w:val="001E1E9F"/>
    <w:rsid w:val="001E39A4"/>
    <w:rsid w:val="001E474B"/>
    <w:rsid w:val="001E4EB9"/>
    <w:rsid w:val="001E66D4"/>
    <w:rsid w:val="001E7865"/>
    <w:rsid w:val="001F0B86"/>
    <w:rsid w:val="001F0EA4"/>
    <w:rsid w:val="001F111C"/>
    <w:rsid w:val="001F1663"/>
    <w:rsid w:val="001F1BAE"/>
    <w:rsid w:val="001F4948"/>
    <w:rsid w:val="001F52F0"/>
    <w:rsid w:val="001F6492"/>
    <w:rsid w:val="001F65D5"/>
    <w:rsid w:val="00200DE1"/>
    <w:rsid w:val="00201E95"/>
    <w:rsid w:val="00202620"/>
    <w:rsid w:val="00202F4A"/>
    <w:rsid w:val="00203637"/>
    <w:rsid w:val="00204602"/>
    <w:rsid w:val="00204DD0"/>
    <w:rsid w:val="00205526"/>
    <w:rsid w:val="00205E6B"/>
    <w:rsid w:val="00206B5B"/>
    <w:rsid w:val="0020772D"/>
    <w:rsid w:val="00207B09"/>
    <w:rsid w:val="002102F4"/>
    <w:rsid w:val="00211487"/>
    <w:rsid w:val="00211884"/>
    <w:rsid w:val="00211FD6"/>
    <w:rsid w:val="00212F11"/>
    <w:rsid w:val="00214E11"/>
    <w:rsid w:val="0021529D"/>
    <w:rsid w:val="00215421"/>
    <w:rsid w:val="002163DE"/>
    <w:rsid w:val="00217698"/>
    <w:rsid w:val="00217E8C"/>
    <w:rsid w:val="0022077E"/>
    <w:rsid w:val="0022231D"/>
    <w:rsid w:val="0022382F"/>
    <w:rsid w:val="00223E07"/>
    <w:rsid w:val="00225FCE"/>
    <w:rsid w:val="0022621B"/>
    <w:rsid w:val="002271C5"/>
    <w:rsid w:val="00227515"/>
    <w:rsid w:val="0023003E"/>
    <w:rsid w:val="00232A08"/>
    <w:rsid w:val="002335CA"/>
    <w:rsid w:val="002340BF"/>
    <w:rsid w:val="00237760"/>
    <w:rsid w:val="00241165"/>
    <w:rsid w:val="00241D1E"/>
    <w:rsid w:val="00242F18"/>
    <w:rsid w:val="00243227"/>
    <w:rsid w:val="00244CB2"/>
    <w:rsid w:val="002460AB"/>
    <w:rsid w:val="002465CF"/>
    <w:rsid w:val="0024787E"/>
    <w:rsid w:val="002533C6"/>
    <w:rsid w:val="00255D9C"/>
    <w:rsid w:val="0025626F"/>
    <w:rsid w:val="0025754F"/>
    <w:rsid w:val="00261CAE"/>
    <w:rsid w:val="00263DD4"/>
    <w:rsid w:val="002641C7"/>
    <w:rsid w:val="0026612F"/>
    <w:rsid w:val="00266742"/>
    <w:rsid w:val="00267F7F"/>
    <w:rsid w:val="00271501"/>
    <w:rsid w:val="00271A8B"/>
    <w:rsid w:val="0027275B"/>
    <w:rsid w:val="00274F06"/>
    <w:rsid w:val="002770BD"/>
    <w:rsid w:val="002815AD"/>
    <w:rsid w:val="002821ED"/>
    <w:rsid w:val="00282876"/>
    <w:rsid w:val="00283D8D"/>
    <w:rsid w:val="0028510B"/>
    <w:rsid w:val="00286A08"/>
    <w:rsid w:val="00286D2E"/>
    <w:rsid w:val="00287BA8"/>
    <w:rsid w:val="00287EB1"/>
    <w:rsid w:val="00287F30"/>
    <w:rsid w:val="002916D7"/>
    <w:rsid w:val="002979BB"/>
    <w:rsid w:val="002A1E4C"/>
    <w:rsid w:val="002A29EE"/>
    <w:rsid w:val="002A332D"/>
    <w:rsid w:val="002A3E56"/>
    <w:rsid w:val="002A410A"/>
    <w:rsid w:val="002A5C0D"/>
    <w:rsid w:val="002A6A7A"/>
    <w:rsid w:val="002B031C"/>
    <w:rsid w:val="002B25C6"/>
    <w:rsid w:val="002B2E7D"/>
    <w:rsid w:val="002B6CD1"/>
    <w:rsid w:val="002C0C24"/>
    <w:rsid w:val="002C16BC"/>
    <w:rsid w:val="002C1FD0"/>
    <w:rsid w:val="002C22B1"/>
    <w:rsid w:val="002C2659"/>
    <w:rsid w:val="002C39DE"/>
    <w:rsid w:val="002C49A0"/>
    <w:rsid w:val="002C58C7"/>
    <w:rsid w:val="002C6ADA"/>
    <w:rsid w:val="002C786D"/>
    <w:rsid w:val="002D090C"/>
    <w:rsid w:val="002D20B6"/>
    <w:rsid w:val="002D417E"/>
    <w:rsid w:val="002D4800"/>
    <w:rsid w:val="002D50C9"/>
    <w:rsid w:val="002D50ED"/>
    <w:rsid w:val="002D5919"/>
    <w:rsid w:val="002D5F53"/>
    <w:rsid w:val="002D620B"/>
    <w:rsid w:val="002E0005"/>
    <w:rsid w:val="002E160C"/>
    <w:rsid w:val="002E2663"/>
    <w:rsid w:val="002E3306"/>
    <w:rsid w:val="002E4857"/>
    <w:rsid w:val="002E4E06"/>
    <w:rsid w:val="002E51D5"/>
    <w:rsid w:val="002E6A06"/>
    <w:rsid w:val="002E6B26"/>
    <w:rsid w:val="002F17C8"/>
    <w:rsid w:val="002F364C"/>
    <w:rsid w:val="002F5290"/>
    <w:rsid w:val="002F549F"/>
    <w:rsid w:val="002F71BB"/>
    <w:rsid w:val="002F74BD"/>
    <w:rsid w:val="003002AF"/>
    <w:rsid w:val="00300421"/>
    <w:rsid w:val="0030178C"/>
    <w:rsid w:val="003042FC"/>
    <w:rsid w:val="0030675F"/>
    <w:rsid w:val="00307072"/>
    <w:rsid w:val="00307794"/>
    <w:rsid w:val="00307FD7"/>
    <w:rsid w:val="0031080B"/>
    <w:rsid w:val="00310880"/>
    <w:rsid w:val="003108DB"/>
    <w:rsid w:val="0031129B"/>
    <w:rsid w:val="00311762"/>
    <w:rsid w:val="00311A5C"/>
    <w:rsid w:val="0031237B"/>
    <w:rsid w:val="003124F4"/>
    <w:rsid w:val="00312791"/>
    <w:rsid w:val="0031435B"/>
    <w:rsid w:val="003149FF"/>
    <w:rsid w:val="00314E4B"/>
    <w:rsid w:val="0031579F"/>
    <w:rsid w:val="00315D17"/>
    <w:rsid w:val="00317461"/>
    <w:rsid w:val="00317802"/>
    <w:rsid w:val="00317A63"/>
    <w:rsid w:val="0032238C"/>
    <w:rsid w:val="003224EF"/>
    <w:rsid w:val="0032534F"/>
    <w:rsid w:val="00326CEF"/>
    <w:rsid w:val="00327F59"/>
    <w:rsid w:val="00330266"/>
    <w:rsid w:val="003307CC"/>
    <w:rsid w:val="00331719"/>
    <w:rsid w:val="00332499"/>
    <w:rsid w:val="00332552"/>
    <w:rsid w:val="00332BDC"/>
    <w:rsid w:val="00333722"/>
    <w:rsid w:val="00333884"/>
    <w:rsid w:val="00334435"/>
    <w:rsid w:val="003347A5"/>
    <w:rsid w:val="003347CE"/>
    <w:rsid w:val="003358C9"/>
    <w:rsid w:val="00336425"/>
    <w:rsid w:val="00336742"/>
    <w:rsid w:val="00336D1E"/>
    <w:rsid w:val="003372F8"/>
    <w:rsid w:val="00337F0C"/>
    <w:rsid w:val="003409BF"/>
    <w:rsid w:val="00340F28"/>
    <w:rsid w:val="003416CF"/>
    <w:rsid w:val="003416D2"/>
    <w:rsid w:val="0034227A"/>
    <w:rsid w:val="0034492A"/>
    <w:rsid w:val="0034542D"/>
    <w:rsid w:val="00347834"/>
    <w:rsid w:val="00347940"/>
    <w:rsid w:val="00347A80"/>
    <w:rsid w:val="003503F4"/>
    <w:rsid w:val="00350A96"/>
    <w:rsid w:val="003533BC"/>
    <w:rsid w:val="003535C7"/>
    <w:rsid w:val="003558A1"/>
    <w:rsid w:val="003558A2"/>
    <w:rsid w:val="003558C0"/>
    <w:rsid w:val="00355AB6"/>
    <w:rsid w:val="003561E0"/>
    <w:rsid w:val="00356248"/>
    <w:rsid w:val="00356950"/>
    <w:rsid w:val="00356AD8"/>
    <w:rsid w:val="0035793C"/>
    <w:rsid w:val="00360B01"/>
    <w:rsid w:val="003634E1"/>
    <w:rsid w:val="003639F4"/>
    <w:rsid w:val="00363CDA"/>
    <w:rsid w:val="0036461B"/>
    <w:rsid w:val="0036561E"/>
    <w:rsid w:val="00366D10"/>
    <w:rsid w:val="00367662"/>
    <w:rsid w:val="003677AF"/>
    <w:rsid w:val="003679C1"/>
    <w:rsid w:val="00370067"/>
    <w:rsid w:val="00370B14"/>
    <w:rsid w:val="00372477"/>
    <w:rsid w:val="003726B6"/>
    <w:rsid w:val="003733D4"/>
    <w:rsid w:val="00373952"/>
    <w:rsid w:val="00375C17"/>
    <w:rsid w:val="00375D2B"/>
    <w:rsid w:val="00376EBD"/>
    <w:rsid w:val="00380B8E"/>
    <w:rsid w:val="00380FC4"/>
    <w:rsid w:val="00381AD0"/>
    <w:rsid w:val="00383176"/>
    <w:rsid w:val="00384F89"/>
    <w:rsid w:val="00386D9C"/>
    <w:rsid w:val="00387FDA"/>
    <w:rsid w:val="00391E98"/>
    <w:rsid w:val="00396267"/>
    <w:rsid w:val="003964CD"/>
    <w:rsid w:val="003A3589"/>
    <w:rsid w:val="003A4052"/>
    <w:rsid w:val="003A4067"/>
    <w:rsid w:val="003A6355"/>
    <w:rsid w:val="003B02FC"/>
    <w:rsid w:val="003B094C"/>
    <w:rsid w:val="003B3FF2"/>
    <w:rsid w:val="003B5B90"/>
    <w:rsid w:val="003B7343"/>
    <w:rsid w:val="003B7F0B"/>
    <w:rsid w:val="003C19DA"/>
    <w:rsid w:val="003C22AA"/>
    <w:rsid w:val="003C253D"/>
    <w:rsid w:val="003C25BA"/>
    <w:rsid w:val="003C2C48"/>
    <w:rsid w:val="003C60A7"/>
    <w:rsid w:val="003C707F"/>
    <w:rsid w:val="003C7DCF"/>
    <w:rsid w:val="003D034A"/>
    <w:rsid w:val="003D065F"/>
    <w:rsid w:val="003D3313"/>
    <w:rsid w:val="003D4700"/>
    <w:rsid w:val="003D6ED5"/>
    <w:rsid w:val="003D7575"/>
    <w:rsid w:val="003E5B80"/>
    <w:rsid w:val="003E6052"/>
    <w:rsid w:val="003E62A8"/>
    <w:rsid w:val="003E688D"/>
    <w:rsid w:val="003E6DF0"/>
    <w:rsid w:val="003F01A2"/>
    <w:rsid w:val="003F0367"/>
    <w:rsid w:val="003F06CA"/>
    <w:rsid w:val="003F23B8"/>
    <w:rsid w:val="003F25A5"/>
    <w:rsid w:val="003F6C37"/>
    <w:rsid w:val="004015F5"/>
    <w:rsid w:val="00401838"/>
    <w:rsid w:val="0040417F"/>
    <w:rsid w:val="00404C65"/>
    <w:rsid w:val="00405120"/>
    <w:rsid w:val="0040516A"/>
    <w:rsid w:val="004069AD"/>
    <w:rsid w:val="004073AF"/>
    <w:rsid w:val="0040798E"/>
    <w:rsid w:val="004124A4"/>
    <w:rsid w:val="00413B80"/>
    <w:rsid w:val="00414C06"/>
    <w:rsid w:val="00416303"/>
    <w:rsid w:val="00416E58"/>
    <w:rsid w:val="004209BE"/>
    <w:rsid w:val="004225E4"/>
    <w:rsid w:val="00430947"/>
    <w:rsid w:val="004310D3"/>
    <w:rsid w:val="004311EB"/>
    <w:rsid w:val="00432795"/>
    <w:rsid w:val="00433326"/>
    <w:rsid w:val="00436661"/>
    <w:rsid w:val="004367D0"/>
    <w:rsid w:val="00436E85"/>
    <w:rsid w:val="004375C4"/>
    <w:rsid w:val="00437753"/>
    <w:rsid w:val="00437F1D"/>
    <w:rsid w:val="00440516"/>
    <w:rsid w:val="00440E87"/>
    <w:rsid w:val="004413B6"/>
    <w:rsid w:val="004417A8"/>
    <w:rsid w:val="00441FF0"/>
    <w:rsid w:val="00446BF5"/>
    <w:rsid w:val="00446D43"/>
    <w:rsid w:val="00450900"/>
    <w:rsid w:val="00450A6C"/>
    <w:rsid w:val="00453487"/>
    <w:rsid w:val="0045693A"/>
    <w:rsid w:val="00456AAC"/>
    <w:rsid w:val="00456BBD"/>
    <w:rsid w:val="00460D75"/>
    <w:rsid w:val="004635B7"/>
    <w:rsid w:val="00463907"/>
    <w:rsid w:val="004648CA"/>
    <w:rsid w:val="00466377"/>
    <w:rsid w:val="004701ED"/>
    <w:rsid w:val="0047179B"/>
    <w:rsid w:val="00474563"/>
    <w:rsid w:val="00474BD1"/>
    <w:rsid w:val="00475565"/>
    <w:rsid w:val="00475F20"/>
    <w:rsid w:val="00477B6D"/>
    <w:rsid w:val="00480F26"/>
    <w:rsid w:val="00481CC5"/>
    <w:rsid w:val="00483894"/>
    <w:rsid w:val="00483D67"/>
    <w:rsid w:val="0048415C"/>
    <w:rsid w:val="004843B8"/>
    <w:rsid w:val="004850EF"/>
    <w:rsid w:val="00485148"/>
    <w:rsid w:val="004858BD"/>
    <w:rsid w:val="0048676B"/>
    <w:rsid w:val="00487693"/>
    <w:rsid w:val="00487EED"/>
    <w:rsid w:val="00490011"/>
    <w:rsid w:val="00490EEB"/>
    <w:rsid w:val="0049140E"/>
    <w:rsid w:val="00493FAA"/>
    <w:rsid w:val="00494F0F"/>
    <w:rsid w:val="0049797F"/>
    <w:rsid w:val="00497AE2"/>
    <w:rsid w:val="004A03D1"/>
    <w:rsid w:val="004A1FE0"/>
    <w:rsid w:val="004A214C"/>
    <w:rsid w:val="004A22D3"/>
    <w:rsid w:val="004A26F3"/>
    <w:rsid w:val="004A28CD"/>
    <w:rsid w:val="004A3170"/>
    <w:rsid w:val="004A500B"/>
    <w:rsid w:val="004A5F97"/>
    <w:rsid w:val="004A6271"/>
    <w:rsid w:val="004B02BA"/>
    <w:rsid w:val="004B0E29"/>
    <w:rsid w:val="004B28CE"/>
    <w:rsid w:val="004B33E1"/>
    <w:rsid w:val="004B3E8E"/>
    <w:rsid w:val="004B4A62"/>
    <w:rsid w:val="004B4C8F"/>
    <w:rsid w:val="004B5E16"/>
    <w:rsid w:val="004B6A8E"/>
    <w:rsid w:val="004C0630"/>
    <w:rsid w:val="004C08D7"/>
    <w:rsid w:val="004C1512"/>
    <w:rsid w:val="004C20E2"/>
    <w:rsid w:val="004C32D3"/>
    <w:rsid w:val="004C37E2"/>
    <w:rsid w:val="004C3C8B"/>
    <w:rsid w:val="004C4368"/>
    <w:rsid w:val="004C4B8E"/>
    <w:rsid w:val="004C5B91"/>
    <w:rsid w:val="004C5F59"/>
    <w:rsid w:val="004C6B1F"/>
    <w:rsid w:val="004D17FD"/>
    <w:rsid w:val="004D1D69"/>
    <w:rsid w:val="004D3AAD"/>
    <w:rsid w:val="004D41D1"/>
    <w:rsid w:val="004D4507"/>
    <w:rsid w:val="004D5913"/>
    <w:rsid w:val="004D677B"/>
    <w:rsid w:val="004E0399"/>
    <w:rsid w:val="004E1F1A"/>
    <w:rsid w:val="004E2758"/>
    <w:rsid w:val="004E3ECD"/>
    <w:rsid w:val="004E40BF"/>
    <w:rsid w:val="004E4856"/>
    <w:rsid w:val="004E5678"/>
    <w:rsid w:val="004E60B5"/>
    <w:rsid w:val="004E6D8F"/>
    <w:rsid w:val="004F1695"/>
    <w:rsid w:val="004F39AF"/>
    <w:rsid w:val="004F5A55"/>
    <w:rsid w:val="00500A0E"/>
    <w:rsid w:val="0050241D"/>
    <w:rsid w:val="005046B5"/>
    <w:rsid w:val="00505C1E"/>
    <w:rsid w:val="00505E3D"/>
    <w:rsid w:val="005069AF"/>
    <w:rsid w:val="00511481"/>
    <w:rsid w:val="00511B6D"/>
    <w:rsid w:val="0051465A"/>
    <w:rsid w:val="00514C07"/>
    <w:rsid w:val="00516078"/>
    <w:rsid w:val="00516B13"/>
    <w:rsid w:val="00517A51"/>
    <w:rsid w:val="00520BE1"/>
    <w:rsid w:val="00526F65"/>
    <w:rsid w:val="005270E6"/>
    <w:rsid w:val="005277BE"/>
    <w:rsid w:val="00530A98"/>
    <w:rsid w:val="005318C6"/>
    <w:rsid w:val="005318D4"/>
    <w:rsid w:val="0053345D"/>
    <w:rsid w:val="005335F2"/>
    <w:rsid w:val="00533CCB"/>
    <w:rsid w:val="00534758"/>
    <w:rsid w:val="00535E25"/>
    <w:rsid w:val="00537A27"/>
    <w:rsid w:val="00542D52"/>
    <w:rsid w:val="005435AF"/>
    <w:rsid w:val="005435BE"/>
    <w:rsid w:val="00543E24"/>
    <w:rsid w:val="00544130"/>
    <w:rsid w:val="005447BE"/>
    <w:rsid w:val="005451E8"/>
    <w:rsid w:val="005460EC"/>
    <w:rsid w:val="005463E5"/>
    <w:rsid w:val="0054775C"/>
    <w:rsid w:val="00553069"/>
    <w:rsid w:val="0055439F"/>
    <w:rsid w:val="0055494F"/>
    <w:rsid w:val="0055718E"/>
    <w:rsid w:val="00557401"/>
    <w:rsid w:val="005615AD"/>
    <w:rsid w:val="005616BD"/>
    <w:rsid w:val="005622D0"/>
    <w:rsid w:val="005667A4"/>
    <w:rsid w:val="00566EF0"/>
    <w:rsid w:val="005670CD"/>
    <w:rsid w:val="0057175C"/>
    <w:rsid w:val="00572625"/>
    <w:rsid w:val="00572995"/>
    <w:rsid w:val="00573321"/>
    <w:rsid w:val="00573AE4"/>
    <w:rsid w:val="0057712A"/>
    <w:rsid w:val="0058179C"/>
    <w:rsid w:val="00582A5C"/>
    <w:rsid w:val="00582F8E"/>
    <w:rsid w:val="005850CC"/>
    <w:rsid w:val="0058519A"/>
    <w:rsid w:val="00585539"/>
    <w:rsid w:val="00590348"/>
    <w:rsid w:val="005904B6"/>
    <w:rsid w:val="005934A7"/>
    <w:rsid w:val="00594A5D"/>
    <w:rsid w:val="00594B82"/>
    <w:rsid w:val="00596020"/>
    <w:rsid w:val="00596A18"/>
    <w:rsid w:val="00596DEF"/>
    <w:rsid w:val="005A07B0"/>
    <w:rsid w:val="005A0E2D"/>
    <w:rsid w:val="005A15ED"/>
    <w:rsid w:val="005A1E88"/>
    <w:rsid w:val="005A2B13"/>
    <w:rsid w:val="005A3914"/>
    <w:rsid w:val="005A4A4B"/>
    <w:rsid w:val="005A62E3"/>
    <w:rsid w:val="005B00C7"/>
    <w:rsid w:val="005B0706"/>
    <w:rsid w:val="005B0CF9"/>
    <w:rsid w:val="005B0F4E"/>
    <w:rsid w:val="005B184C"/>
    <w:rsid w:val="005B1B3B"/>
    <w:rsid w:val="005B1DA8"/>
    <w:rsid w:val="005B2531"/>
    <w:rsid w:val="005B2AAD"/>
    <w:rsid w:val="005B329D"/>
    <w:rsid w:val="005B4F07"/>
    <w:rsid w:val="005B598D"/>
    <w:rsid w:val="005B66FB"/>
    <w:rsid w:val="005B7A43"/>
    <w:rsid w:val="005C0B95"/>
    <w:rsid w:val="005C1A6B"/>
    <w:rsid w:val="005C225B"/>
    <w:rsid w:val="005C24A1"/>
    <w:rsid w:val="005C2920"/>
    <w:rsid w:val="005C2BE3"/>
    <w:rsid w:val="005C4940"/>
    <w:rsid w:val="005C5AC6"/>
    <w:rsid w:val="005C7325"/>
    <w:rsid w:val="005C74B6"/>
    <w:rsid w:val="005D011A"/>
    <w:rsid w:val="005D0192"/>
    <w:rsid w:val="005D07BA"/>
    <w:rsid w:val="005D13E8"/>
    <w:rsid w:val="005D42CD"/>
    <w:rsid w:val="005D4A1D"/>
    <w:rsid w:val="005D604C"/>
    <w:rsid w:val="005E1263"/>
    <w:rsid w:val="005E28EC"/>
    <w:rsid w:val="005E3452"/>
    <w:rsid w:val="005E3F19"/>
    <w:rsid w:val="005E4364"/>
    <w:rsid w:val="005E7112"/>
    <w:rsid w:val="005F0242"/>
    <w:rsid w:val="005F0A96"/>
    <w:rsid w:val="005F2F33"/>
    <w:rsid w:val="005F3221"/>
    <w:rsid w:val="005F43EE"/>
    <w:rsid w:val="005F4528"/>
    <w:rsid w:val="005F5277"/>
    <w:rsid w:val="005F5553"/>
    <w:rsid w:val="005F6810"/>
    <w:rsid w:val="005F7384"/>
    <w:rsid w:val="00602609"/>
    <w:rsid w:val="0060298B"/>
    <w:rsid w:val="00603840"/>
    <w:rsid w:val="00603F7A"/>
    <w:rsid w:val="00604101"/>
    <w:rsid w:val="00606D40"/>
    <w:rsid w:val="00611911"/>
    <w:rsid w:val="00612477"/>
    <w:rsid w:val="00612FE0"/>
    <w:rsid w:val="00613614"/>
    <w:rsid w:val="00613698"/>
    <w:rsid w:val="00613A5A"/>
    <w:rsid w:val="006141FC"/>
    <w:rsid w:val="0061475E"/>
    <w:rsid w:val="00614B0D"/>
    <w:rsid w:val="00620243"/>
    <w:rsid w:val="006204CB"/>
    <w:rsid w:val="0062134B"/>
    <w:rsid w:val="00622716"/>
    <w:rsid w:val="00622C3B"/>
    <w:rsid w:val="00624D90"/>
    <w:rsid w:val="0062584A"/>
    <w:rsid w:val="00625863"/>
    <w:rsid w:val="00627645"/>
    <w:rsid w:val="00627996"/>
    <w:rsid w:val="006309C7"/>
    <w:rsid w:val="00630A6B"/>
    <w:rsid w:val="00631C5F"/>
    <w:rsid w:val="00631C91"/>
    <w:rsid w:val="0063214C"/>
    <w:rsid w:val="00634981"/>
    <w:rsid w:val="00635010"/>
    <w:rsid w:val="00635370"/>
    <w:rsid w:val="00636007"/>
    <w:rsid w:val="00636156"/>
    <w:rsid w:val="00636D5D"/>
    <w:rsid w:val="00637CDA"/>
    <w:rsid w:val="006405A5"/>
    <w:rsid w:val="0064112C"/>
    <w:rsid w:val="00641489"/>
    <w:rsid w:val="00641884"/>
    <w:rsid w:val="00641E5E"/>
    <w:rsid w:val="00643B35"/>
    <w:rsid w:val="00644634"/>
    <w:rsid w:val="006466ED"/>
    <w:rsid w:val="00647CB7"/>
    <w:rsid w:val="00651B07"/>
    <w:rsid w:val="00652B3D"/>
    <w:rsid w:val="006534C9"/>
    <w:rsid w:val="00653FF9"/>
    <w:rsid w:val="006550A0"/>
    <w:rsid w:val="006563DC"/>
    <w:rsid w:val="00656AAC"/>
    <w:rsid w:val="00657895"/>
    <w:rsid w:val="006579AC"/>
    <w:rsid w:val="00657CA3"/>
    <w:rsid w:val="00660385"/>
    <w:rsid w:val="00660B55"/>
    <w:rsid w:val="00660BA1"/>
    <w:rsid w:val="0066193F"/>
    <w:rsid w:val="00663F55"/>
    <w:rsid w:val="0066516C"/>
    <w:rsid w:val="00666D50"/>
    <w:rsid w:val="00666D98"/>
    <w:rsid w:val="006670D3"/>
    <w:rsid w:val="00667319"/>
    <w:rsid w:val="0066788B"/>
    <w:rsid w:val="00671718"/>
    <w:rsid w:val="00674316"/>
    <w:rsid w:val="0067512D"/>
    <w:rsid w:val="0067781E"/>
    <w:rsid w:val="0068184F"/>
    <w:rsid w:val="00682DBE"/>
    <w:rsid w:val="0068390D"/>
    <w:rsid w:val="006841D6"/>
    <w:rsid w:val="00684D23"/>
    <w:rsid w:val="006900F6"/>
    <w:rsid w:val="006902AE"/>
    <w:rsid w:val="00691C95"/>
    <w:rsid w:val="00693DD9"/>
    <w:rsid w:val="006947B3"/>
    <w:rsid w:val="00694B8E"/>
    <w:rsid w:val="00694F7C"/>
    <w:rsid w:val="00696186"/>
    <w:rsid w:val="006A5F48"/>
    <w:rsid w:val="006B0D43"/>
    <w:rsid w:val="006B1408"/>
    <w:rsid w:val="006B201C"/>
    <w:rsid w:val="006B51B2"/>
    <w:rsid w:val="006B69BE"/>
    <w:rsid w:val="006B6FD0"/>
    <w:rsid w:val="006B76A2"/>
    <w:rsid w:val="006C0664"/>
    <w:rsid w:val="006C1E10"/>
    <w:rsid w:val="006C293D"/>
    <w:rsid w:val="006C3002"/>
    <w:rsid w:val="006C531A"/>
    <w:rsid w:val="006C56B5"/>
    <w:rsid w:val="006C6279"/>
    <w:rsid w:val="006C7BA4"/>
    <w:rsid w:val="006D214E"/>
    <w:rsid w:val="006D4C6D"/>
    <w:rsid w:val="006D5987"/>
    <w:rsid w:val="006D787D"/>
    <w:rsid w:val="006E4668"/>
    <w:rsid w:val="006E752D"/>
    <w:rsid w:val="006E7F8F"/>
    <w:rsid w:val="006F14DD"/>
    <w:rsid w:val="006F1DC0"/>
    <w:rsid w:val="006F5537"/>
    <w:rsid w:val="006F6324"/>
    <w:rsid w:val="006F78BF"/>
    <w:rsid w:val="00701869"/>
    <w:rsid w:val="00701948"/>
    <w:rsid w:val="00701DF7"/>
    <w:rsid w:val="0070278D"/>
    <w:rsid w:val="00704BA5"/>
    <w:rsid w:val="00705739"/>
    <w:rsid w:val="00705DEC"/>
    <w:rsid w:val="00706B8B"/>
    <w:rsid w:val="007078ED"/>
    <w:rsid w:val="00707915"/>
    <w:rsid w:val="0071014D"/>
    <w:rsid w:val="007113CA"/>
    <w:rsid w:val="00711CAF"/>
    <w:rsid w:val="007130DC"/>
    <w:rsid w:val="00713667"/>
    <w:rsid w:val="00713707"/>
    <w:rsid w:val="007137D6"/>
    <w:rsid w:val="0071404C"/>
    <w:rsid w:val="007162E1"/>
    <w:rsid w:val="00716579"/>
    <w:rsid w:val="00716792"/>
    <w:rsid w:val="00720371"/>
    <w:rsid w:val="00720430"/>
    <w:rsid w:val="00720682"/>
    <w:rsid w:val="00722B35"/>
    <w:rsid w:val="00724086"/>
    <w:rsid w:val="00724518"/>
    <w:rsid w:val="00724F22"/>
    <w:rsid w:val="0072553E"/>
    <w:rsid w:val="00727B2E"/>
    <w:rsid w:val="00731831"/>
    <w:rsid w:val="007321E2"/>
    <w:rsid w:val="0073389B"/>
    <w:rsid w:val="00736092"/>
    <w:rsid w:val="00736925"/>
    <w:rsid w:val="00736F74"/>
    <w:rsid w:val="00737F75"/>
    <w:rsid w:val="0074148F"/>
    <w:rsid w:val="007416B7"/>
    <w:rsid w:val="0074223E"/>
    <w:rsid w:val="00742310"/>
    <w:rsid w:val="007435CC"/>
    <w:rsid w:val="007436AD"/>
    <w:rsid w:val="00744072"/>
    <w:rsid w:val="0074472F"/>
    <w:rsid w:val="00744C19"/>
    <w:rsid w:val="007458BD"/>
    <w:rsid w:val="00745C53"/>
    <w:rsid w:val="00747FE3"/>
    <w:rsid w:val="00754D1E"/>
    <w:rsid w:val="00755339"/>
    <w:rsid w:val="00755AEA"/>
    <w:rsid w:val="0075635E"/>
    <w:rsid w:val="00756C64"/>
    <w:rsid w:val="00757505"/>
    <w:rsid w:val="00760CA1"/>
    <w:rsid w:val="00762379"/>
    <w:rsid w:val="00763691"/>
    <w:rsid w:val="00766DE6"/>
    <w:rsid w:val="00771D4D"/>
    <w:rsid w:val="00774B56"/>
    <w:rsid w:val="00780E6F"/>
    <w:rsid w:val="00784940"/>
    <w:rsid w:val="00785290"/>
    <w:rsid w:val="0078566C"/>
    <w:rsid w:val="00785AF2"/>
    <w:rsid w:val="00790C2B"/>
    <w:rsid w:val="007926F7"/>
    <w:rsid w:val="00792E3C"/>
    <w:rsid w:val="00793070"/>
    <w:rsid w:val="00794930"/>
    <w:rsid w:val="00794F25"/>
    <w:rsid w:val="00797340"/>
    <w:rsid w:val="007A10A8"/>
    <w:rsid w:val="007A1D1B"/>
    <w:rsid w:val="007A66CC"/>
    <w:rsid w:val="007A7E87"/>
    <w:rsid w:val="007B1ED5"/>
    <w:rsid w:val="007B44EF"/>
    <w:rsid w:val="007B4AFA"/>
    <w:rsid w:val="007B56F8"/>
    <w:rsid w:val="007B6D30"/>
    <w:rsid w:val="007C0097"/>
    <w:rsid w:val="007C2BF2"/>
    <w:rsid w:val="007C3D54"/>
    <w:rsid w:val="007C421C"/>
    <w:rsid w:val="007C4557"/>
    <w:rsid w:val="007C4784"/>
    <w:rsid w:val="007C4F00"/>
    <w:rsid w:val="007C533B"/>
    <w:rsid w:val="007C5553"/>
    <w:rsid w:val="007C7101"/>
    <w:rsid w:val="007C7347"/>
    <w:rsid w:val="007C762F"/>
    <w:rsid w:val="007D0BB9"/>
    <w:rsid w:val="007D0F63"/>
    <w:rsid w:val="007D185E"/>
    <w:rsid w:val="007D412F"/>
    <w:rsid w:val="007D56BF"/>
    <w:rsid w:val="007D5F62"/>
    <w:rsid w:val="007D607A"/>
    <w:rsid w:val="007E0C08"/>
    <w:rsid w:val="007E3CEE"/>
    <w:rsid w:val="007E5904"/>
    <w:rsid w:val="007E59B3"/>
    <w:rsid w:val="007E7C0D"/>
    <w:rsid w:val="007F1E49"/>
    <w:rsid w:val="007F4F3B"/>
    <w:rsid w:val="007F5D5A"/>
    <w:rsid w:val="007F667F"/>
    <w:rsid w:val="007F6828"/>
    <w:rsid w:val="007F7B1B"/>
    <w:rsid w:val="0080250D"/>
    <w:rsid w:val="0080253A"/>
    <w:rsid w:val="0080365E"/>
    <w:rsid w:val="00803C2E"/>
    <w:rsid w:val="00804D8A"/>
    <w:rsid w:val="008057D2"/>
    <w:rsid w:val="008057D6"/>
    <w:rsid w:val="00805EFF"/>
    <w:rsid w:val="008064DD"/>
    <w:rsid w:val="008066BE"/>
    <w:rsid w:val="00806DEE"/>
    <w:rsid w:val="00812277"/>
    <w:rsid w:val="0081385F"/>
    <w:rsid w:val="00813B38"/>
    <w:rsid w:val="00821BD2"/>
    <w:rsid w:val="008222AC"/>
    <w:rsid w:val="00822880"/>
    <w:rsid w:val="00822F49"/>
    <w:rsid w:val="008231A6"/>
    <w:rsid w:val="00823290"/>
    <w:rsid w:val="0082391E"/>
    <w:rsid w:val="0082418C"/>
    <w:rsid w:val="00824C06"/>
    <w:rsid w:val="008269FE"/>
    <w:rsid w:val="00826C44"/>
    <w:rsid w:val="0083466F"/>
    <w:rsid w:val="008350B1"/>
    <w:rsid w:val="00836888"/>
    <w:rsid w:val="00836D65"/>
    <w:rsid w:val="00843239"/>
    <w:rsid w:val="00843713"/>
    <w:rsid w:val="00843BC3"/>
    <w:rsid w:val="00845513"/>
    <w:rsid w:val="00845D86"/>
    <w:rsid w:val="00846A7D"/>
    <w:rsid w:val="00846DC0"/>
    <w:rsid w:val="00847FF2"/>
    <w:rsid w:val="00850102"/>
    <w:rsid w:val="008509F5"/>
    <w:rsid w:val="008517DF"/>
    <w:rsid w:val="008517FE"/>
    <w:rsid w:val="00852D8D"/>
    <w:rsid w:val="008538D0"/>
    <w:rsid w:val="00854717"/>
    <w:rsid w:val="0085536B"/>
    <w:rsid w:val="008553DC"/>
    <w:rsid w:val="0085611F"/>
    <w:rsid w:val="00857DF2"/>
    <w:rsid w:val="00857F35"/>
    <w:rsid w:val="0086050B"/>
    <w:rsid w:val="0086059E"/>
    <w:rsid w:val="00862134"/>
    <w:rsid w:val="00864885"/>
    <w:rsid w:val="00864963"/>
    <w:rsid w:val="0086693C"/>
    <w:rsid w:val="00870166"/>
    <w:rsid w:val="00871163"/>
    <w:rsid w:val="00871BD7"/>
    <w:rsid w:val="00873F07"/>
    <w:rsid w:val="00876309"/>
    <w:rsid w:val="00877007"/>
    <w:rsid w:val="0088093B"/>
    <w:rsid w:val="008831A7"/>
    <w:rsid w:val="0088498E"/>
    <w:rsid w:val="00886301"/>
    <w:rsid w:val="00886476"/>
    <w:rsid w:val="00886936"/>
    <w:rsid w:val="00886EC2"/>
    <w:rsid w:val="00890B84"/>
    <w:rsid w:val="0089107A"/>
    <w:rsid w:val="008917F6"/>
    <w:rsid w:val="008951E3"/>
    <w:rsid w:val="008976AF"/>
    <w:rsid w:val="008A0322"/>
    <w:rsid w:val="008A1A65"/>
    <w:rsid w:val="008A5981"/>
    <w:rsid w:val="008A6A6D"/>
    <w:rsid w:val="008A6B74"/>
    <w:rsid w:val="008A6E80"/>
    <w:rsid w:val="008B0685"/>
    <w:rsid w:val="008B332B"/>
    <w:rsid w:val="008B40BB"/>
    <w:rsid w:val="008B4907"/>
    <w:rsid w:val="008B4EFB"/>
    <w:rsid w:val="008B608D"/>
    <w:rsid w:val="008B7CDC"/>
    <w:rsid w:val="008C0367"/>
    <w:rsid w:val="008C08DA"/>
    <w:rsid w:val="008C1399"/>
    <w:rsid w:val="008C32E3"/>
    <w:rsid w:val="008C3A3C"/>
    <w:rsid w:val="008C414A"/>
    <w:rsid w:val="008C4DEE"/>
    <w:rsid w:val="008C6412"/>
    <w:rsid w:val="008D0D42"/>
    <w:rsid w:val="008D2593"/>
    <w:rsid w:val="008D25EB"/>
    <w:rsid w:val="008D2983"/>
    <w:rsid w:val="008D3433"/>
    <w:rsid w:val="008D4EF5"/>
    <w:rsid w:val="008D55DF"/>
    <w:rsid w:val="008D6F1D"/>
    <w:rsid w:val="008D7679"/>
    <w:rsid w:val="008D76E1"/>
    <w:rsid w:val="008E34AB"/>
    <w:rsid w:val="008E369F"/>
    <w:rsid w:val="008E4A23"/>
    <w:rsid w:val="008F002B"/>
    <w:rsid w:val="008F01F7"/>
    <w:rsid w:val="008F2FD4"/>
    <w:rsid w:val="008F4AD6"/>
    <w:rsid w:val="008F57FB"/>
    <w:rsid w:val="008F603C"/>
    <w:rsid w:val="008F7E9F"/>
    <w:rsid w:val="009003A5"/>
    <w:rsid w:val="00900CD4"/>
    <w:rsid w:val="009015CA"/>
    <w:rsid w:val="00904B0C"/>
    <w:rsid w:val="00905BB8"/>
    <w:rsid w:val="00905F0E"/>
    <w:rsid w:val="0090668B"/>
    <w:rsid w:val="00906A32"/>
    <w:rsid w:val="0091183D"/>
    <w:rsid w:val="00912C9F"/>
    <w:rsid w:val="00913F9A"/>
    <w:rsid w:val="00916C83"/>
    <w:rsid w:val="009204FB"/>
    <w:rsid w:val="009209EA"/>
    <w:rsid w:val="00921A50"/>
    <w:rsid w:val="00921C8E"/>
    <w:rsid w:val="00921D26"/>
    <w:rsid w:val="009220E0"/>
    <w:rsid w:val="00923CA9"/>
    <w:rsid w:val="00924AB9"/>
    <w:rsid w:val="0092611C"/>
    <w:rsid w:val="009267DF"/>
    <w:rsid w:val="0093070D"/>
    <w:rsid w:val="00930B0F"/>
    <w:rsid w:val="00930BEB"/>
    <w:rsid w:val="009318EB"/>
    <w:rsid w:val="00932EFF"/>
    <w:rsid w:val="0093400F"/>
    <w:rsid w:val="009342A9"/>
    <w:rsid w:val="0094141D"/>
    <w:rsid w:val="0094162A"/>
    <w:rsid w:val="00941F13"/>
    <w:rsid w:val="009426BC"/>
    <w:rsid w:val="00942DF2"/>
    <w:rsid w:val="009443B9"/>
    <w:rsid w:val="009545BD"/>
    <w:rsid w:val="00954B9A"/>
    <w:rsid w:val="009553B5"/>
    <w:rsid w:val="009559FB"/>
    <w:rsid w:val="00955D6D"/>
    <w:rsid w:val="009573F4"/>
    <w:rsid w:val="00960048"/>
    <w:rsid w:val="00960543"/>
    <w:rsid w:val="009623E4"/>
    <w:rsid w:val="00962618"/>
    <w:rsid w:val="0096541B"/>
    <w:rsid w:val="009674A6"/>
    <w:rsid w:val="00971EE6"/>
    <w:rsid w:val="0097335D"/>
    <w:rsid w:val="009734C6"/>
    <w:rsid w:val="009744F5"/>
    <w:rsid w:val="009762EF"/>
    <w:rsid w:val="00977CAA"/>
    <w:rsid w:val="00981702"/>
    <w:rsid w:val="00982E53"/>
    <w:rsid w:val="00983B5C"/>
    <w:rsid w:val="009852E9"/>
    <w:rsid w:val="00985852"/>
    <w:rsid w:val="009864AF"/>
    <w:rsid w:val="009876D9"/>
    <w:rsid w:val="00987CEA"/>
    <w:rsid w:val="009901AC"/>
    <w:rsid w:val="009911EF"/>
    <w:rsid w:val="00991286"/>
    <w:rsid w:val="009925D2"/>
    <w:rsid w:val="00992DE8"/>
    <w:rsid w:val="009932D7"/>
    <w:rsid w:val="00993893"/>
    <w:rsid w:val="0099507A"/>
    <w:rsid w:val="009954D3"/>
    <w:rsid w:val="00995BFC"/>
    <w:rsid w:val="00996141"/>
    <w:rsid w:val="009972FC"/>
    <w:rsid w:val="009976C5"/>
    <w:rsid w:val="00997ECB"/>
    <w:rsid w:val="009A033E"/>
    <w:rsid w:val="009A17AA"/>
    <w:rsid w:val="009A23BC"/>
    <w:rsid w:val="009A4441"/>
    <w:rsid w:val="009A4D8C"/>
    <w:rsid w:val="009A4E30"/>
    <w:rsid w:val="009A54EB"/>
    <w:rsid w:val="009B075A"/>
    <w:rsid w:val="009B212F"/>
    <w:rsid w:val="009B31D3"/>
    <w:rsid w:val="009B3615"/>
    <w:rsid w:val="009B4116"/>
    <w:rsid w:val="009B4722"/>
    <w:rsid w:val="009B5918"/>
    <w:rsid w:val="009B5BD4"/>
    <w:rsid w:val="009B6208"/>
    <w:rsid w:val="009B710C"/>
    <w:rsid w:val="009C081E"/>
    <w:rsid w:val="009C2608"/>
    <w:rsid w:val="009C4A64"/>
    <w:rsid w:val="009C708A"/>
    <w:rsid w:val="009D040C"/>
    <w:rsid w:val="009D34AC"/>
    <w:rsid w:val="009E16B4"/>
    <w:rsid w:val="009E2B0A"/>
    <w:rsid w:val="009E2D84"/>
    <w:rsid w:val="009E487A"/>
    <w:rsid w:val="009E6C6C"/>
    <w:rsid w:val="009E6CB8"/>
    <w:rsid w:val="009F1197"/>
    <w:rsid w:val="009F16F3"/>
    <w:rsid w:val="009F36F4"/>
    <w:rsid w:val="009F3F7B"/>
    <w:rsid w:val="009F4A50"/>
    <w:rsid w:val="009F63CA"/>
    <w:rsid w:val="009F79C4"/>
    <w:rsid w:val="00A00B50"/>
    <w:rsid w:val="00A024C8"/>
    <w:rsid w:val="00A02D9F"/>
    <w:rsid w:val="00A034D0"/>
    <w:rsid w:val="00A10416"/>
    <w:rsid w:val="00A136FD"/>
    <w:rsid w:val="00A15885"/>
    <w:rsid w:val="00A1796A"/>
    <w:rsid w:val="00A17CE4"/>
    <w:rsid w:val="00A17F87"/>
    <w:rsid w:val="00A209CF"/>
    <w:rsid w:val="00A2135A"/>
    <w:rsid w:val="00A234F4"/>
    <w:rsid w:val="00A277C1"/>
    <w:rsid w:val="00A315CB"/>
    <w:rsid w:val="00A320A8"/>
    <w:rsid w:val="00A33487"/>
    <w:rsid w:val="00A334FB"/>
    <w:rsid w:val="00A3485F"/>
    <w:rsid w:val="00A35575"/>
    <w:rsid w:val="00A441B9"/>
    <w:rsid w:val="00A44F5D"/>
    <w:rsid w:val="00A44F5E"/>
    <w:rsid w:val="00A44FA6"/>
    <w:rsid w:val="00A45903"/>
    <w:rsid w:val="00A47E2C"/>
    <w:rsid w:val="00A50079"/>
    <w:rsid w:val="00A5172A"/>
    <w:rsid w:val="00A5175E"/>
    <w:rsid w:val="00A51BB5"/>
    <w:rsid w:val="00A525EF"/>
    <w:rsid w:val="00A5396C"/>
    <w:rsid w:val="00A54092"/>
    <w:rsid w:val="00A540B3"/>
    <w:rsid w:val="00A556F2"/>
    <w:rsid w:val="00A55D2E"/>
    <w:rsid w:val="00A5601F"/>
    <w:rsid w:val="00A574CB"/>
    <w:rsid w:val="00A609BE"/>
    <w:rsid w:val="00A60FC5"/>
    <w:rsid w:val="00A6162C"/>
    <w:rsid w:val="00A63993"/>
    <w:rsid w:val="00A655F0"/>
    <w:rsid w:val="00A6662D"/>
    <w:rsid w:val="00A66849"/>
    <w:rsid w:val="00A67065"/>
    <w:rsid w:val="00A670A1"/>
    <w:rsid w:val="00A67D7A"/>
    <w:rsid w:val="00A7026D"/>
    <w:rsid w:val="00A74E9E"/>
    <w:rsid w:val="00A75570"/>
    <w:rsid w:val="00A764C8"/>
    <w:rsid w:val="00A76E5F"/>
    <w:rsid w:val="00A77813"/>
    <w:rsid w:val="00A80EB9"/>
    <w:rsid w:val="00A824F3"/>
    <w:rsid w:val="00A82AB2"/>
    <w:rsid w:val="00A82FEC"/>
    <w:rsid w:val="00A84619"/>
    <w:rsid w:val="00A8476D"/>
    <w:rsid w:val="00A84B25"/>
    <w:rsid w:val="00A84DFF"/>
    <w:rsid w:val="00A84F0E"/>
    <w:rsid w:val="00A865F4"/>
    <w:rsid w:val="00A86893"/>
    <w:rsid w:val="00A9148B"/>
    <w:rsid w:val="00A91AA4"/>
    <w:rsid w:val="00A94CE9"/>
    <w:rsid w:val="00A956DA"/>
    <w:rsid w:val="00A95EEB"/>
    <w:rsid w:val="00A960CE"/>
    <w:rsid w:val="00AA03EA"/>
    <w:rsid w:val="00AA19BF"/>
    <w:rsid w:val="00AA2C94"/>
    <w:rsid w:val="00AA2E04"/>
    <w:rsid w:val="00AA3DD8"/>
    <w:rsid w:val="00AA5409"/>
    <w:rsid w:val="00AA5A06"/>
    <w:rsid w:val="00AA6365"/>
    <w:rsid w:val="00AA6AA3"/>
    <w:rsid w:val="00AA7137"/>
    <w:rsid w:val="00AB04CB"/>
    <w:rsid w:val="00AB0DA6"/>
    <w:rsid w:val="00AB2B65"/>
    <w:rsid w:val="00AB3244"/>
    <w:rsid w:val="00AB366B"/>
    <w:rsid w:val="00AB3C13"/>
    <w:rsid w:val="00AB4CCB"/>
    <w:rsid w:val="00AB70B0"/>
    <w:rsid w:val="00AC017E"/>
    <w:rsid w:val="00AC1645"/>
    <w:rsid w:val="00AC19EE"/>
    <w:rsid w:val="00AC36DB"/>
    <w:rsid w:val="00AC5942"/>
    <w:rsid w:val="00AC6798"/>
    <w:rsid w:val="00AC7313"/>
    <w:rsid w:val="00AD02C7"/>
    <w:rsid w:val="00AD038E"/>
    <w:rsid w:val="00AD069F"/>
    <w:rsid w:val="00AD15E4"/>
    <w:rsid w:val="00AD1CF2"/>
    <w:rsid w:val="00AE19C2"/>
    <w:rsid w:val="00AE23FA"/>
    <w:rsid w:val="00AE2ABB"/>
    <w:rsid w:val="00AE2ED4"/>
    <w:rsid w:val="00AE331F"/>
    <w:rsid w:val="00AE3438"/>
    <w:rsid w:val="00AE38D6"/>
    <w:rsid w:val="00AE7482"/>
    <w:rsid w:val="00AF014C"/>
    <w:rsid w:val="00AF1F9A"/>
    <w:rsid w:val="00AF3810"/>
    <w:rsid w:val="00AF605E"/>
    <w:rsid w:val="00AF6DDE"/>
    <w:rsid w:val="00AF7321"/>
    <w:rsid w:val="00B009A9"/>
    <w:rsid w:val="00B0132C"/>
    <w:rsid w:val="00B0275A"/>
    <w:rsid w:val="00B0497F"/>
    <w:rsid w:val="00B056F8"/>
    <w:rsid w:val="00B07AFF"/>
    <w:rsid w:val="00B07FE8"/>
    <w:rsid w:val="00B123D8"/>
    <w:rsid w:val="00B12DDB"/>
    <w:rsid w:val="00B12EF9"/>
    <w:rsid w:val="00B13443"/>
    <w:rsid w:val="00B139E0"/>
    <w:rsid w:val="00B15F80"/>
    <w:rsid w:val="00B16F39"/>
    <w:rsid w:val="00B16F64"/>
    <w:rsid w:val="00B16F68"/>
    <w:rsid w:val="00B173FA"/>
    <w:rsid w:val="00B17E7D"/>
    <w:rsid w:val="00B17EAB"/>
    <w:rsid w:val="00B2170C"/>
    <w:rsid w:val="00B22DE2"/>
    <w:rsid w:val="00B23FE5"/>
    <w:rsid w:val="00B24ACC"/>
    <w:rsid w:val="00B25E75"/>
    <w:rsid w:val="00B26E68"/>
    <w:rsid w:val="00B2770A"/>
    <w:rsid w:val="00B30944"/>
    <w:rsid w:val="00B31A56"/>
    <w:rsid w:val="00B31BD3"/>
    <w:rsid w:val="00B328C1"/>
    <w:rsid w:val="00B32F77"/>
    <w:rsid w:val="00B33562"/>
    <w:rsid w:val="00B33831"/>
    <w:rsid w:val="00B33F81"/>
    <w:rsid w:val="00B34352"/>
    <w:rsid w:val="00B343F2"/>
    <w:rsid w:val="00B34A2C"/>
    <w:rsid w:val="00B36597"/>
    <w:rsid w:val="00B40EB3"/>
    <w:rsid w:val="00B416FA"/>
    <w:rsid w:val="00B44927"/>
    <w:rsid w:val="00B44DFD"/>
    <w:rsid w:val="00B45715"/>
    <w:rsid w:val="00B45873"/>
    <w:rsid w:val="00B47EC8"/>
    <w:rsid w:val="00B50018"/>
    <w:rsid w:val="00B52990"/>
    <w:rsid w:val="00B52EC7"/>
    <w:rsid w:val="00B54BB4"/>
    <w:rsid w:val="00B55833"/>
    <w:rsid w:val="00B5695E"/>
    <w:rsid w:val="00B56A77"/>
    <w:rsid w:val="00B56A84"/>
    <w:rsid w:val="00B576E2"/>
    <w:rsid w:val="00B57F06"/>
    <w:rsid w:val="00B60048"/>
    <w:rsid w:val="00B60759"/>
    <w:rsid w:val="00B60CEF"/>
    <w:rsid w:val="00B611FD"/>
    <w:rsid w:val="00B61A4E"/>
    <w:rsid w:val="00B626C2"/>
    <w:rsid w:val="00B64219"/>
    <w:rsid w:val="00B64EAF"/>
    <w:rsid w:val="00B64F94"/>
    <w:rsid w:val="00B65679"/>
    <w:rsid w:val="00B713D6"/>
    <w:rsid w:val="00B72945"/>
    <w:rsid w:val="00B73213"/>
    <w:rsid w:val="00B73839"/>
    <w:rsid w:val="00B745A2"/>
    <w:rsid w:val="00B811F3"/>
    <w:rsid w:val="00B81F20"/>
    <w:rsid w:val="00B82C9A"/>
    <w:rsid w:val="00B84554"/>
    <w:rsid w:val="00B85105"/>
    <w:rsid w:val="00B87B7E"/>
    <w:rsid w:val="00B90C40"/>
    <w:rsid w:val="00B90D03"/>
    <w:rsid w:val="00B90D32"/>
    <w:rsid w:val="00B93CA4"/>
    <w:rsid w:val="00B9419C"/>
    <w:rsid w:val="00B943CD"/>
    <w:rsid w:val="00BA147C"/>
    <w:rsid w:val="00BA19B4"/>
    <w:rsid w:val="00BA1C23"/>
    <w:rsid w:val="00BA22A4"/>
    <w:rsid w:val="00BA2F4B"/>
    <w:rsid w:val="00BA3FF5"/>
    <w:rsid w:val="00BA4B49"/>
    <w:rsid w:val="00BA595E"/>
    <w:rsid w:val="00BA77A4"/>
    <w:rsid w:val="00BB0070"/>
    <w:rsid w:val="00BB1FAA"/>
    <w:rsid w:val="00BB272E"/>
    <w:rsid w:val="00BB2758"/>
    <w:rsid w:val="00BB2B72"/>
    <w:rsid w:val="00BB38C6"/>
    <w:rsid w:val="00BB56AE"/>
    <w:rsid w:val="00BB716F"/>
    <w:rsid w:val="00BB7A28"/>
    <w:rsid w:val="00BC0164"/>
    <w:rsid w:val="00BC2D14"/>
    <w:rsid w:val="00BC5091"/>
    <w:rsid w:val="00BC5AAC"/>
    <w:rsid w:val="00BC64BE"/>
    <w:rsid w:val="00BC67F3"/>
    <w:rsid w:val="00BC6979"/>
    <w:rsid w:val="00BC6CDB"/>
    <w:rsid w:val="00BC7F9E"/>
    <w:rsid w:val="00BD31D6"/>
    <w:rsid w:val="00BD3583"/>
    <w:rsid w:val="00BD3820"/>
    <w:rsid w:val="00BD404A"/>
    <w:rsid w:val="00BD41C7"/>
    <w:rsid w:val="00BE041E"/>
    <w:rsid w:val="00BE079D"/>
    <w:rsid w:val="00BE2E43"/>
    <w:rsid w:val="00BE4D43"/>
    <w:rsid w:val="00BE6064"/>
    <w:rsid w:val="00BE6601"/>
    <w:rsid w:val="00BE78CF"/>
    <w:rsid w:val="00BE7CAF"/>
    <w:rsid w:val="00BF09AF"/>
    <w:rsid w:val="00BF3B45"/>
    <w:rsid w:val="00BF5381"/>
    <w:rsid w:val="00BF57A7"/>
    <w:rsid w:val="00BF5CA7"/>
    <w:rsid w:val="00BF75A3"/>
    <w:rsid w:val="00BF77CD"/>
    <w:rsid w:val="00C0045C"/>
    <w:rsid w:val="00C006A9"/>
    <w:rsid w:val="00C00AFA"/>
    <w:rsid w:val="00C06AA0"/>
    <w:rsid w:val="00C076F4"/>
    <w:rsid w:val="00C07C96"/>
    <w:rsid w:val="00C1135A"/>
    <w:rsid w:val="00C126BF"/>
    <w:rsid w:val="00C1456F"/>
    <w:rsid w:val="00C1631E"/>
    <w:rsid w:val="00C173D1"/>
    <w:rsid w:val="00C20206"/>
    <w:rsid w:val="00C20944"/>
    <w:rsid w:val="00C2420C"/>
    <w:rsid w:val="00C2490D"/>
    <w:rsid w:val="00C25B4F"/>
    <w:rsid w:val="00C2699A"/>
    <w:rsid w:val="00C26A22"/>
    <w:rsid w:val="00C26E61"/>
    <w:rsid w:val="00C3043F"/>
    <w:rsid w:val="00C306DB"/>
    <w:rsid w:val="00C31893"/>
    <w:rsid w:val="00C31E6C"/>
    <w:rsid w:val="00C32633"/>
    <w:rsid w:val="00C32D76"/>
    <w:rsid w:val="00C33301"/>
    <w:rsid w:val="00C336BA"/>
    <w:rsid w:val="00C34292"/>
    <w:rsid w:val="00C347D2"/>
    <w:rsid w:val="00C369B3"/>
    <w:rsid w:val="00C3707C"/>
    <w:rsid w:val="00C37AE0"/>
    <w:rsid w:val="00C417E3"/>
    <w:rsid w:val="00C41F37"/>
    <w:rsid w:val="00C42B01"/>
    <w:rsid w:val="00C42FB7"/>
    <w:rsid w:val="00C44A70"/>
    <w:rsid w:val="00C44EB1"/>
    <w:rsid w:val="00C459E2"/>
    <w:rsid w:val="00C4704E"/>
    <w:rsid w:val="00C51C4A"/>
    <w:rsid w:val="00C53B46"/>
    <w:rsid w:val="00C54C0D"/>
    <w:rsid w:val="00C54C6A"/>
    <w:rsid w:val="00C5748E"/>
    <w:rsid w:val="00C579A7"/>
    <w:rsid w:val="00C57E92"/>
    <w:rsid w:val="00C6074A"/>
    <w:rsid w:val="00C61A6E"/>
    <w:rsid w:val="00C61C68"/>
    <w:rsid w:val="00C62607"/>
    <w:rsid w:val="00C62808"/>
    <w:rsid w:val="00C64836"/>
    <w:rsid w:val="00C64F71"/>
    <w:rsid w:val="00C650C0"/>
    <w:rsid w:val="00C65510"/>
    <w:rsid w:val="00C672A3"/>
    <w:rsid w:val="00C7099D"/>
    <w:rsid w:val="00C71150"/>
    <w:rsid w:val="00C71492"/>
    <w:rsid w:val="00C7182B"/>
    <w:rsid w:val="00C7295B"/>
    <w:rsid w:val="00C73779"/>
    <w:rsid w:val="00C75155"/>
    <w:rsid w:val="00C7620F"/>
    <w:rsid w:val="00C764DF"/>
    <w:rsid w:val="00C768CB"/>
    <w:rsid w:val="00C76A79"/>
    <w:rsid w:val="00C77048"/>
    <w:rsid w:val="00C801AE"/>
    <w:rsid w:val="00C80426"/>
    <w:rsid w:val="00C807BD"/>
    <w:rsid w:val="00C84690"/>
    <w:rsid w:val="00C855A0"/>
    <w:rsid w:val="00C85A4E"/>
    <w:rsid w:val="00C8694C"/>
    <w:rsid w:val="00C86BED"/>
    <w:rsid w:val="00C86C41"/>
    <w:rsid w:val="00C87957"/>
    <w:rsid w:val="00C9147D"/>
    <w:rsid w:val="00C9280D"/>
    <w:rsid w:val="00C96CD8"/>
    <w:rsid w:val="00C9737A"/>
    <w:rsid w:val="00CA1C67"/>
    <w:rsid w:val="00CA34C4"/>
    <w:rsid w:val="00CA4137"/>
    <w:rsid w:val="00CA4BE8"/>
    <w:rsid w:val="00CA6470"/>
    <w:rsid w:val="00CA6561"/>
    <w:rsid w:val="00CA6878"/>
    <w:rsid w:val="00CB04DA"/>
    <w:rsid w:val="00CB0BDF"/>
    <w:rsid w:val="00CB2AC8"/>
    <w:rsid w:val="00CB47E5"/>
    <w:rsid w:val="00CB525F"/>
    <w:rsid w:val="00CB68EB"/>
    <w:rsid w:val="00CB72CC"/>
    <w:rsid w:val="00CB7C53"/>
    <w:rsid w:val="00CC1DEE"/>
    <w:rsid w:val="00CC23B4"/>
    <w:rsid w:val="00CC4892"/>
    <w:rsid w:val="00CC6D56"/>
    <w:rsid w:val="00CC7982"/>
    <w:rsid w:val="00CD023E"/>
    <w:rsid w:val="00CD044F"/>
    <w:rsid w:val="00CD09DC"/>
    <w:rsid w:val="00CD128A"/>
    <w:rsid w:val="00CD153B"/>
    <w:rsid w:val="00CD1972"/>
    <w:rsid w:val="00CD3993"/>
    <w:rsid w:val="00CD3A56"/>
    <w:rsid w:val="00CD3B76"/>
    <w:rsid w:val="00CD414E"/>
    <w:rsid w:val="00CD51F9"/>
    <w:rsid w:val="00CD77E8"/>
    <w:rsid w:val="00CD78CD"/>
    <w:rsid w:val="00CD7F2F"/>
    <w:rsid w:val="00CD7F5F"/>
    <w:rsid w:val="00CE0AA1"/>
    <w:rsid w:val="00CE3A27"/>
    <w:rsid w:val="00CE3A44"/>
    <w:rsid w:val="00CE3D73"/>
    <w:rsid w:val="00CE591C"/>
    <w:rsid w:val="00CF0C6C"/>
    <w:rsid w:val="00CF24F5"/>
    <w:rsid w:val="00CF29E2"/>
    <w:rsid w:val="00CF3F7C"/>
    <w:rsid w:val="00CF5881"/>
    <w:rsid w:val="00CF5C79"/>
    <w:rsid w:val="00CF696A"/>
    <w:rsid w:val="00CF7016"/>
    <w:rsid w:val="00D0004F"/>
    <w:rsid w:val="00D04A6A"/>
    <w:rsid w:val="00D04C2A"/>
    <w:rsid w:val="00D06436"/>
    <w:rsid w:val="00D06E35"/>
    <w:rsid w:val="00D10084"/>
    <w:rsid w:val="00D11F96"/>
    <w:rsid w:val="00D12F33"/>
    <w:rsid w:val="00D13EB7"/>
    <w:rsid w:val="00D144DA"/>
    <w:rsid w:val="00D146F4"/>
    <w:rsid w:val="00D201B6"/>
    <w:rsid w:val="00D2054E"/>
    <w:rsid w:val="00D20F84"/>
    <w:rsid w:val="00D2345F"/>
    <w:rsid w:val="00D23DDC"/>
    <w:rsid w:val="00D24474"/>
    <w:rsid w:val="00D2534D"/>
    <w:rsid w:val="00D27996"/>
    <w:rsid w:val="00D32505"/>
    <w:rsid w:val="00D3268E"/>
    <w:rsid w:val="00D33830"/>
    <w:rsid w:val="00D37F0B"/>
    <w:rsid w:val="00D4238F"/>
    <w:rsid w:val="00D43553"/>
    <w:rsid w:val="00D4482C"/>
    <w:rsid w:val="00D4604E"/>
    <w:rsid w:val="00D4685C"/>
    <w:rsid w:val="00D474FD"/>
    <w:rsid w:val="00D5053A"/>
    <w:rsid w:val="00D51A58"/>
    <w:rsid w:val="00D53655"/>
    <w:rsid w:val="00D54202"/>
    <w:rsid w:val="00D56766"/>
    <w:rsid w:val="00D61153"/>
    <w:rsid w:val="00D61A66"/>
    <w:rsid w:val="00D62970"/>
    <w:rsid w:val="00D63FD7"/>
    <w:rsid w:val="00D64512"/>
    <w:rsid w:val="00D652F6"/>
    <w:rsid w:val="00D65AC4"/>
    <w:rsid w:val="00D6755C"/>
    <w:rsid w:val="00D67CEA"/>
    <w:rsid w:val="00D700E6"/>
    <w:rsid w:val="00D71608"/>
    <w:rsid w:val="00D71C6A"/>
    <w:rsid w:val="00D72765"/>
    <w:rsid w:val="00D72923"/>
    <w:rsid w:val="00D733A3"/>
    <w:rsid w:val="00D73BBF"/>
    <w:rsid w:val="00D740BF"/>
    <w:rsid w:val="00D74B87"/>
    <w:rsid w:val="00D75D59"/>
    <w:rsid w:val="00D77597"/>
    <w:rsid w:val="00D8052A"/>
    <w:rsid w:val="00D807AC"/>
    <w:rsid w:val="00D8353A"/>
    <w:rsid w:val="00D8390F"/>
    <w:rsid w:val="00D8495D"/>
    <w:rsid w:val="00D86C73"/>
    <w:rsid w:val="00D8758C"/>
    <w:rsid w:val="00D919CB"/>
    <w:rsid w:val="00D92BEA"/>
    <w:rsid w:val="00D930CE"/>
    <w:rsid w:val="00D94790"/>
    <w:rsid w:val="00D95AAD"/>
    <w:rsid w:val="00D96828"/>
    <w:rsid w:val="00DA04E8"/>
    <w:rsid w:val="00DA113A"/>
    <w:rsid w:val="00DA26C4"/>
    <w:rsid w:val="00DA2904"/>
    <w:rsid w:val="00DA4750"/>
    <w:rsid w:val="00DA67C8"/>
    <w:rsid w:val="00DA6878"/>
    <w:rsid w:val="00DB05B9"/>
    <w:rsid w:val="00DB5877"/>
    <w:rsid w:val="00DB6A41"/>
    <w:rsid w:val="00DB7996"/>
    <w:rsid w:val="00DC23A5"/>
    <w:rsid w:val="00DC24DB"/>
    <w:rsid w:val="00DC290C"/>
    <w:rsid w:val="00DC2AE2"/>
    <w:rsid w:val="00DC4A02"/>
    <w:rsid w:val="00DC4E7D"/>
    <w:rsid w:val="00DC7410"/>
    <w:rsid w:val="00DD0AE2"/>
    <w:rsid w:val="00DD0B73"/>
    <w:rsid w:val="00DD1134"/>
    <w:rsid w:val="00DD123E"/>
    <w:rsid w:val="00DD1D2E"/>
    <w:rsid w:val="00DD1F40"/>
    <w:rsid w:val="00DD25AB"/>
    <w:rsid w:val="00DD37B8"/>
    <w:rsid w:val="00DD4257"/>
    <w:rsid w:val="00DD43E1"/>
    <w:rsid w:val="00DD45A6"/>
    <w:rsid w:val="00DD4EFA"/>
    <w:rsid w:val="00DD51F1"/>
    <w:rsid w:val="00DD7EA3"/>
    <w:rsid w:val="00DE364C"/>
    <w:rsid w:val="00DE3966"/>
    <w:rsid w:val="00DE4D4B"/>
    <w:rsid w:val="00DE4F6F"/>
    <w:rsid w:val="00DE5CED"/>
    <w:rsid w:val="00DE643C"/>
    <w:rsid w:val="00DF2A93"/>
    <w:rsid w:val="00DF42D6"/>
    <w:rsid w:val="00DF535F"/>
    <w:rsid w:val="00DF5587"/>
    <w:rsid w:val="00DF590B"/>
    <w:rsid w:val="00DF75B0"/>
    <w:rsid w:val="00E019DF"/>
    <w:rsid w:val="00E0223F"/>
    <w:rsid w:val="00E027CD"/>
    <w:rsid w:val="00E02D2C"/>
    <w:rsid w:val="00E03B27"/>
    <w:rsid w:val="00E050DC"/>
    <w:rsid w:val="00E05158"/>
    <w:rsid w:val="00E06B71"/>
    <w:rsid w:val="00E077A4"/>
    <w:rsid w:val="00E11C65"/>
    <w:rsid w:val="00E13192"/>
    <w:rsid w:val="00E16622"/>
    <w:rsid w:val="00E170F4"/>
    <w:rsid w:val="00E20402"/>
    <w:rsid w:val="00E20BEF"/>
    <w:rsid w:val="00E216B8"/>
    <w:rsid w:val="00E218C3"/>
    <w:rsid w:val="00E21B8C"/>
    <w:rsid w:val="00E2285E"/>
    <w:rsid w:val="00E2322D"/>
    <w:rsid w:val="00E23E81"/>
    <w:rsid w:val="00E24CA7"/>
    <w:rsid w:val="00E25D8B"/>
    <w:rsid w:val="00E25F87"/>
    <w:rsid w:val="00E26197"/>
    <w:rsid w:val="00E32314"/>
    <w:rsid w:val="00E32B3A"/>
    <w:rsid w:val="00E333EE"/>
    <w:rsid w:val="00E33F55"/>
    <w:rsid w:val="00E343E2"/>
    <w:rsid w:val="00E360F8"/>
    <w:rsid w:val="00E3747E"/>
    <w:rsid w:val="00E4172A"/>
    <w:rsid w:val="00E41DD4"/>
    <w:rsid w:val="00E43DD6"/>
    <w:rsid w:val="00E4401C"/>
    <w:rsid w:val="00E45891"/>
    <w:rsid w:val="00E45A5D"/>
    <w:rsid w:val="00E465CD"/>
    <w:rsid w:val="00E46E95"/>
    <w:rsid w:val="00E478AE"/>
    <w:rsid w:val="00E50384"/>
    <w:rsid w:val="00E51B78"/>
    <w:rsid w:val="00E52001"/>
    <w:rsid w:val="00E52E75"/>
    <w:rsid w:val="00E5369E"/>
    <w:rsid w:val="00E54AB5"/>
    <w:rsid w:val="00E54BF8"/>
    <w:rsid w:val="00E5510B"/>
    <w:rsid w:val="00E557F7"/>
    <w:rsid w:val="00E5618B"/>
    <w:rsid w:val="00E564E4"/>
    <w:rsid w:val="00E574CF"/>
    <w:rsid w:val="00E63457"/>
    <w:rsid w:val="00E63813"/>
    <w:rsid w:val="00E6384C"/>
    <w:rsid w:val="00E63EA8"/>
    <w:rsid w:val="00E64637"/>
    <w:rsid w:val="00E64986"/>
    <w:rsid w:val="00E65429"/>
    <w:rsid w:val="00E6575A"/>
    <w:rsid w:val="00E65C16"/>
    <w:rsid w:val="00E705BC"/>
    <w:rsid w:val="00E711F6"/>
    <w:rsid w:val="00E71C79"/>
    <w:rsid w:val="00E727A8"/>
    <w:rsid w:val="00E72C11"/>
    <w:rsid w:val="00E74E81"/>
    <w:rsid w:val="00E76032"/>
    <w:rsid w:val="00E76A2C"/>
    <w:rsid w:val="00E7772F"/>
    <w:rsid w:val="00E8021D"/>
    <w:rsid w:val="00E817CE"/>
    <w:rsid w:val="00E83F46"/>
    <w:rsid w:val="00E84E46"/>
    <w:rsid w:val="00E86984"/>
    <w:rsid w:val="00E86A23"/>
    <w:rsid w:val="00E86C91"/>
    <w:rsid w:val="00E86F89"/>
    <w:rsid w:val="00E87EF7"/>
    <w:rsid w:val="00E92D82"/>
    <w:rsid w:val="00E93C49"/>
    <w:rsid w:val="00E957BE"/>
    <w:rsid w:val="00E97E1E"/>
    <w:rsid w:val="00EA0D71"/>
    <w:rsid w:val="00EA0EA3"/>
    <w:rsid w:val="00EA1B42"/>
    <w:rsid w:val="00EA20BC"/>
    <w:rsid w:val="00EA28A3"/>
    <w:rsid w:val="00EA622D"/>
    <w:rsid w:val="00EA680A"/>
    <w:rsid w:val="00EB0CAD"/>
    <w:rsid w:val="00EB119A"/>
    <w:rsid w:val="00EB1E53"/>
    <w:rsid w:val="00EB7AD6"/>
    <w:rsid w:val="00EC05C8"/>
    <w:rsid w:val="00EC0A04"/>
    <w:rsid w:val="00EC126A"/>
    <w:rsid w:val="00EC503D"/>
    <w:rsid w:val="00EC5660"/>
    <w:rsid w:val="00EC59E3"/>
    <w:rsid w:val="00EC6429"/>
    <w:rsid w:val="00EC749A"/>
    <w:rsid w:val="00ED0294"/>
    <w:rsid w:val="00ED169F"/>
    <w:rsid w:val="00ED52D5"/>
    <w:rsid w:val="00ED537F"/>
    <w:rsid w:val="00ED5F49"/>
    <w:rsid w:val="00ED5F73"/>
    <w:rsid w:val="00EE0AA8"/>
    <w:rsid w:val="00EE1027"/>
    <w:rsid w:val="00EE2ECE"/>
    <w:rsid w:val="00EE4D02"/>
    <w:rsid w:val="00EE5FCB"/>
    <w:rsid w:val="00EE6F57"/>
    <w:rsid w:val="00EE7163"/>
    <w:rsid w:val="00EF0879"/>
    <w:rsid w:val="00EF0D4A"/>
    <w:rsid w:val="00EF3367"/>
    <w:rsid w:val="00EF3A21"/>
    <w:rsid w:val="00EF4BC9"/>
    <w:rsid w:val="00EF5198"/>
    <w:rsid w:val="00EF5492"/>
    <w:rsid w:val="00EF76CE"/>
    <w:rsid w:val="00F0045C"/>
    <w:rsid w:val="00F00DB1"/>
    <w:rsid w:val="00F01ED0"/>
    <w:rsid w:val="00F02E85"/>
    <w:rsid w:val="00F03D15"/>
    <w:rsid w:val="00F04C4D"/>
    <w:rsid w:val="00F05E9F"/>
    <w:rsid w:val="00F06E8D"/>
    <w:rsid w:val="00F071DE"/>
    <w:rsid w:val="00F0762D"/>
    <w:rsid w:val="00F10F35"/>
    <w:rsid w:val="00F110D0"/>
    <w:rsid w:val="00F139BE"/>
    <w:rsid w:val="00F15581"/>
    <w:rsid w:val="00F16CC5"/>
    <w:rsid w:val="00F17087"/>
    <w:rsid w:val="00F20167"/>
    <w:rsid w:val="00F205E9"/>
    <w:rsid w:val="00F209CA"/>
    <w:rsid w:val="00F21563"/>
    <w:rsid w:val="00F22DF5"/>
    <w:rsid w:val="00F2300E"/>
    <w:rsid w:val="00F2521D"/>
    <w:rsid w:val="00F25A66"/>
    <w:rsid w:val="00F25B26"/>
    <w:rsid w:val="00F274BF"/>
    <w:rsid w:val="00F3114E"/>
    <w:rsid w:val="00F317DA"/>
    <w:rsid w:val="00F34DD4"/>
    <w:rsid w:val="00F35E4A"/>
    <w:rsid w:val="00F37D5F"/>
    <w:rsid w:val="00F40700"/>
    <w:rsid w:val="00F41189"/>
    <w:rsid w:val="00F41FA6"/>
    <w:rsid w:val="00F43375"/>
    <w:rsid w:val="00F439FD"/>
    <w:rsid w:val="00F53626"/>
    <w:rsid w:val="00F54A45"/>
    <w:rsid w:val="00F55651"/>
    <w:rsid w:val="00F56CB1"/>
    <w:rsid w:val="00F60381"/>
    <w:rsid w:val="00F613E9"/>
    <w:rsid w:val="00F625D8"/>
    <w:rsid w:val="00F630DD"/>
    <w:rsid w:val="00F63DE9"/>
    <w:rsid w:val="00F67460"/>
    <w:rsid w:val="00F70570"/>
    <w:rsid w:val="00F70D9C"/>
    <w:rsid w:val="00F72259"/>
    <w:rsid w:val="00F72557"/>
    <w:rsid w:val="00F7297F"/>
    <w:rsid w:val="00F73D11"/>
    <w:rsid w:val="00F755E9"/>
    <w:rsid w:val="00F75D50"/>
    <w:rsid w:val="00F76D03"/>
    <w:rsid w:val="00F800C9"/>
    <w:rsid w:val="00F806A2"/>
    <w:rsid w:val="00F80F9A"/>
    <w:rsid w:val="00F81B5B"/>
    <w:rsid w:val="00F81C81"/>
    <w:rsid w:val="00F828B9"/>
    <w:rsid w:val="00F82E95"/>
    <w:rsid w:val="00F832FA"/>
    <w:rsid w:val="00F842C9"/>
    <w:rsid w:val="00F84720"/>
    <w:rsid w:val="00F86E9B"/>
    <w:rsid w:val="00F8769A"/>
    <w:rsid w:val="00F904C5"/>
    <w:rsid w:val="00F90F35"/>
    <w:rsid w:val="00F92732"/>
    <w:rsid w:val="00F935CE"/>
    <w:rsid w:val="00F97FCA"/>
    <w:rsid w:val="00FA040D"/>
    <w:rsid w:val="00FA1510"/>
    <w:rsid w:val="00FA1DC6"/>
    <w:rsid w:val="00FA2C16"/>
    <w:rsid w:val="00FA4875"/>
    <w:rsid w:val="00FA6317"/>
    <w:rsid w:val="00FA63E4"/>
    <w:rsid w:val="00FA659B"/>
    <w:rsid w:val="00FA73F0"/>
    <w:rsid w:val="00FB0815"/>
    <w:rsid w:val="00FB0F3E"/>
    <w:rsid w:val="00FB1838"/>
    <w:rsid w:val="00FB254F"/>
    <w:rsid w:val="00FB37C2"/>
    <w:rsid w:val="00FB39AF"/>
    <w:rsid w:val="00FB4CFF"/>
    <w:rsid w:val="00FB56E6"/>
    <w:rsid w:val="00FB62F2"/>
    <w:rsid w:val="00FC1CBA"/>
    <w:rsid w:val="00FC24E7"/>
    <w:rsid w:val="00FC2997"/>
    <w:rsid w:val="00FC3570"/>
    <w:rsid w:val="00FC3C6D"/>
    <w:rsid w:val="00FC5FF3"/>
    <w:rsid w:val="00FC75B1"/>
    <w:rsid w:val="00FD0DD3"/>
    <w:rsid w:val="00FD19E2"/>
    <w:rsid w:val="00FD3FFD"/>
    <w:rsid w:val="00FD4599"/>
    <w:rsid w:val="00FD4AD2"/>
    <w:rsid w:val="00FD4DCE"/>
    <w:rsid w:val="00FD53A8"/>
    <w:rsid w:val="00FD7ACD"/>
    <w:rsid w:val="00FD7FE4"/>
    <w:rsid w:val="00FE0183"/>
    <w:rsid w:val="00FE0552"/>
    <w:rsid w:val="00FE0A68"/>
    <w:rsid w:val="00FE1665"/>
    <w:rsid w:val="00FE1775"/>
    <w:rsid w:val="00FE204F"/>
    <w:rsid w:val="00FE4124"/>
    <w:rsid w:val="00FE4911"/>
    <w:rsid w:val="00FE4A2C"/>
    <w:rsid w:val="00FE7B59"/>
    <w:rsid w:val="00FF1C60"/>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30744"/>
  <w15:chartTrackingRefBased/>
  <w15:docId w15:val="{AECF0E76-9AC6-6044-BF18-F9485C91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A8"/>
    <w:pPr>
      <w:spacing w:after="200" w:line="276" w:lineRule="auto"/>
    </w:pPr>
    <w:rPr>
      <w:sz w:val="22"/>
      <w:szCs w:val="22"/>
      <w:lang w:val="en-US" w:eastAsia="en-US"/>
    </w:rPr>
  </w:style>
  <w:style w:type="paragraph" w:styleId="Heading1">
    <w:name w:val="heading 1"/>
    <w:basedOn w:val="Normal"/>
    <w:next w:val="Normal"/>
    <w:link w:val="Heading1Char"/>
    <w:qFormat/>
    <w:rsid w:val="0014020E"/>
    <w:pPr>
      <w:keepNext/>
      <w:numPr>
        <w:numId w:val="1"/>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1"/>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uiPriority w:val="99"/>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uiPriority w:val="99"/>
    <w:rsid w:val="00E3747E"/>
  </w:style>
  <w:style w:type="character" w:customStyle="1" w:styleId="productsku">
    <w:name w:val="productsku"/>
    <w:basedOn w:val="DefaultParagraphFont"/>
    <w:rsid w:val="003964CD"/>
  </w:style>
  <w:style w:type="paragraph" w:styleId="ListParagraph">
    <w:name w:val="List Paragraph"/>
    <w:aliases w:val="List Paragraph (numbered (a)),Colorful List - Accent 11,MCHIP_list paragraph,List Paragraph1,Recommendation,Dot pt,F5 List Paragraph,List Paragraph Char Char Char,Indicator Text,Numbered Para 1,Bullet 1,Bullet Points,List Paragraph2,3,Ha"/>
    <w:basedOn w:val="Normal"/>
    <w:link w:val="ListParagraphChar"/>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lang w:val="en-US" w:eastAsia="en-US"/>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lang w:val="en-US" w:eastAsia="en-US"/>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 w:val="22"/>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b/>
      <w:bCs/>
      <w:color w:val="4F81BD"/>
      <w:sz w:val="22"/>
      <w:szCs w:val="22"/>
    </w:rPr>
  </w:style>
  <w:style w:type="character" w:customStyle="1" w:styleId="Heading4Char">
    <w:name w:val="Heading 4 Char"/>
    <w:link w:val="Heading4"/>
    <w:uiPriority w:val="9"/>
    <w:semiHidden/>
    <w:rsid w:val="009E487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E487A"/>
    <w:rPr>
      <w:rFonts w:ascii="Cambria" w:eastAsia="Times New Roman" w:hAnsi="Cambria"/>
      <w:color w:val="243F60"/>
      <w:sz w:val="22"/>
      <w:szCs w:val="22"/>
    </w:rPr>
  </w:style>
  <w:style w:type="character" w:customStyle="1" w:styleId="Heading6Char">
    <w:name w:val="Heading 6 Char"/>
    <w:link w:val="Heading6"/>
    <w:uiPriority w:val="9"/>
    <w:semiHidden/>
    <w:rsid w:val="009E487A"/>
    <w:rPr>
      <w:rFonts w:ascii="Cambria" w:eastAsia="Times New Roman" w:hAnsi="Cambria"/>
      <w:i/>
      <w:iCs/>
      <w:color w:val="243F60"/>
      <w:sz w:val="22"/>
      <w:szCs w:val="22"/>
    </w:rPr>
  </w:style>
  <w:style w:type="character" w:customStyle="1" w:styleId="Heading7Char">
    <w:name w:val="Heading 7 Char"/>
    <w:link w:val="Heading7"/>
    <w:uiPriority w:val="9"/>
    <w:semiHidden/>
    <w:rsid w:val="009E487A"/>
    <w:rPr>
      <w:rFonts w:ascii="Cambria" w:eastAsia="Times New Roman" w:hAnsi="Cambria"/>
      <w:i/>
      <w:iCs/>
      <w:color w:val="404040"/>
      <w:sz w:val="22"/>
      <w:szCs w:val="22"/>
    </w:rPr>
  </w:style>
  <w:style w:type="character" w:customStyle="1" w:styleId="Heading8Char">
    <w:name w:val="Heading 8 Char"/>
    <w:link w:val="Heading8"/>
    <w:uiPriority w:val="9"/>
    <w:semiHidden/>
    <w:rsid w:val="009E487A"/>
    <w:rPr>
      <w:rFonts w:ascii="Cambria" w:eastAsia="Times New Roman" w:hAnsi="Cambria"/>
      <w:color w:val="404040"/>
    </w:rPr>
  </w:style>
  <w:style w:type="character" w:customStyle="1" w:styleId="Heading9Char">
    <w:name w:val="Heading 9 Char"/>
    <w:link w:val="Heading9"/>
    <w:uiPriority w:val="9"/>
    <w:semiHidden/>
    <w:rsid w:val="009E487A"/>
    <w:rPr>
      <w:rFonts w:ascii="Cambria" w:eastAsia="Times New Roman" w:hAnsi="Cambria"/>
      <w:i/>
      <w:iCs/>
      <w:color w:val="40404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lang w:val="en-US" w:eastAsia="en-US"/>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ListParagraphChar">
    <w:name w:val="List Paragraph Char"/>
    <w:aliases w:val="List Paragraph (numbered (a)) Char,Colorful List - Accent 11 Char,MCHIP_list paragraph Char,List Paragraph1 Char,Recommendation Char,Dot pt Char,F5 List Paragraph Char,List Paragraph Char Char Char Char,Indicator Text Char,3 Char"/>
    <w:link w:val="ListParagraph"/>
    <w:uiPriority w:val="34"/>
    <w:qFormat/>
    <w:locked/>
    <w:rsid w:val="00FD4599"/>
    <w:rPr>
      <w:sz w:val="22"/>
      <w:szCs w:val="22"/>
    </w:rPr>
  </w:style>
  <w:style w:type="character" w:customStyle="1" w:styleId="hps">
    <w:name w:val="hps"/>
    <w:rsid w:val="00FD4599"/>
  </w:style>
  <w:style w:type="character" w:styleId="FootnoteReference">
    <w:name w:val="footnote reference"/>
    <w:uiPriority w:val="99"/>
    <w:unhideWhenUsed/>
    <w:rsid w:val="00E027CD"/>
    <w:rPr>
      <w:vertAlign w:val="superscript"/>
    </w:rPr>
  </w:style>
  <w:style w:type="paragraph" w:styleId="PlainText">
    <w:name w:val="Plain Text"/>
    <w:basedOn w:val="Normal"/>
    <w:link w:val="PlainTextChar"/>
    <w:uiPriority w:val="99"/>
    <w:unhideWhenUsed/>
    <w:rsid w:val="00EE5FCB"/>
    <w:pPr>
      <w:spacing w:after="0" w:line="240" w:lineRule="auto"/>
    </w:pPr>
    <w:rPr>
      <w:rFonts w:ascii="Consolas" w:hAnsi="Consolas" w:cs="Arial"/>
      <w:sz w:val="21"/>
      <w:szCs w:val="21"/>
    </w:rPr>
  </w:style>
  <w:style w:type="character" w:customStyle="1" w:styleId="PlainTextChar">
    <w:name w:val="Plain Text Char"/>
    <w:link w:val="PlainText"/>
    <w:uiPriority w:val="99"/>
    <w:rsid w:val="00EE5FCB"/>
    <w:rPr>
      <w:rFonts w:ascii="Consolas" w:hAnsi="Consolas" w:cs="Arial"/>
      <w:sz w:val="21"/>
      <w:szCs w:val="21"/>
    </w:rPr>
  </w:style>
  <w:style w:type="character" w:customStyle="1" w:styleId="FooterChar">
    <w:name w:val="Footer Char"/>
    <w:link w:val="Footer"/>
    <w:uiPriority w:val="99"/>
    <w:rsid w:val="00785A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36046977">
      <w:bodyDiv w:val="1"/>
      <w:marLeft w:val="0"/>
      <w:marRight w:val="0"/>
      <w:marTop w:val="0"/>
      <w:marBottom w:val="0"/>
      <w:divBdr>
        <w:top w:val="none" w:sz="0" w:space="0" w:color="auto"/>
        <w:left w:val="none" w:sz="0" w:space="0" w:color="auto"/>
        <w:bottom w:val="none" w:sz="0" w:space="0" w:color="auto"/>
        <w:right w:val="none" w:sz="0" w:space="0" w:color="auto"/>
      </w:divBdr>
    </w:div>
    <w:div w:id="82454998">
      <w:bodyDiv w:val="1"/>
      <w:marLeft w:val="0"/>
      <w:marRight w:val="0"/>
      <w:marTop w:val="0"/>
      <w:marBottom w:val="0"/>
      <w:divBdr>
        <w:top w:val="none" w:sz="0" w:space="0" w:color="auto"/>
        <w:left w:val="none" w:sz="0" w:space="0" w:color="auto"/>
        <w:bottom w:val="none" w:sz="0" w:space="0" w:color="auto"/>
        <w:right w:val="none" w:sz="0" w:space="0" w:color="auto"/>
      </w:divBdr>
    </w:div>
    <w:div w:id="104227760">
      <w:bodyDiv w:val="1"/>
      <w:marLeft w:val="0"/>
      <w:marRight w:val="0"/>
      <w:marTop w:val="0"/>
      <w:marBottom w:val="0"/>
      <w:divBdr>
        <w:top w:val="none" w:sz="0" w:space="0" w:color="auto"/>
        <w:left w:val="none" w:sz="0" w:space="0" w:color="auto"/>
        <w:bottom w:val="none" w:sz="0" w:space="0" w:color="auto"/>
        <w:right w:val="none" w:sz="0" w:space="0" w:color="auto"/>
      </w:divBdr>
    </w:div>
    <w:div w:id="116069427">
      <w:bodyDiv w:val="1"/>
      <w:marLeft w:val="0"/>
      <w:marRight w:val="0"/>
      <w:marTop w:val="0"/>
      <w:marBottom w:val="0"/>
      <w:divBdr>
        <w:top w:val="none" w:sz="0" w:space="0" w:color="auto"/>
        <w:left w:val="none" w:sz="0" w:space="0" w:color="auto"/>
        <w:bottom w:val="none" w:sz="0" w:space="0" w:color="auto"/>
        <w:right w:val="none" w:sz="0" w:space="0" w:color="auto"/>
      </w:divBdr>
    </w:div>
    <w:div w:id="136651065">
      <w:bodyDiv w:val="1"/>
      <w:marLeft w:val="0"/>
      <w:marRight w:val="0"/>
      <w:marTop w:val="0"/>
      <w:marBottom w:val="0"/>
      <w:divBdr>
        <w:top w:val="none" w:sz="0" w:space="0" w:color="auto"/>
        <w:left w:val="none" w:sz="0" w:space="0" w:color="auto"/>
        <w:bottom w:val="none" w:sz="0" w:space="0" w:color="auto"/>
        <w:right w:val="none" w:sz="0" w:space="0" w:color="auto"/>
      </w:divBdr>
    </w:div>
    <w:div w:id="153570973">
      <w:bodyDiv w:val="1"/>
      <w:marLeft w:val="0"/>
      <w:marRight w:val="0"/>
      <w:marTop w:val="0"/>
      <w:marBottom w:val="0"/>
      <w:divBdr>
        <w:top w:val="none" w:sz="0" w:space="0" w:color="auto"/>
        <w:left w:val="none" w:sz="0" w:space="0" w:color="auto"/>
        <w:bottom w:val="none" w:sz="0" w:space="0" w:color="auto"/>
        <w:right w:val="none" w:sz="0" w:space="0" w:color="auto"/>
      </w:divBdr>
    </w:div>
    <w:div w:id="158229292">
      <w:bodyDiv w:val="1"/>
      <w:marLeft w:val="0"/>
      <w:marRight w:val="0"/>
      <w:marTop w:val="0"/>
      <w:marBottom w:val="0"/>
      <w:divBdr>
        <w:top w:val="none" w:sz="0" w:space="0" w:color="auto"/>
        <w:left w:val="none" w:sz="0" w:space="0" w:color="auto"/>
        <w:bottom w:val="none" w:sz="0" w:space="0" w:color="auto"/>
        <w:right w:val="none" w:sz="0" w:space="0" w:color="auto"/>
      </w:divBdr>
    </w:div>
    <w:div w:id="16124221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08732875">
      <w:bodyDiv w:val="1"/>
      <w:marLeft w:val="0"/>
      <w:marRight w:val="0"/>
      <w:marTop w:val="0"/>
      <w:marBottom w:val="0"/>
      <w:divBdr>
        <w:top w:val="none" w:sz="0" w:space="0" w:color="auto"/>
        <w:left w:val="none" w:sz="0" w:space="0" w:color="auto"/>
        <w:bottom w:val="none" w:sz="0" w:space="0" w:color="auto"/>
        <w:right w:val="none" w:sz="0" w:space="0" w:color="auto"/>
      </w:divBdr>
    </w:div>
    <w:div w:id="208803964">
      <w:bodyDiv w:val="1"/>
      <w:marLeft w:val="0"/>
      <w:marRight w:val="0"/>
      <w:marTop w:val="0"/>
      <w:marBottom w:val="0"/>
      <w:divBdr>
        <w:top w:val="none" w:sz="0" w:space="0" w:color="auto"/>
        <w:left w:val="none" w:sz="0" w:space="0" w:color="auto"/>
        <w:bottom w:val="none" w:sz="0" w:space="0" w:color="auto"/>
        <w:right w:val="none" w:sz="0" w:space="0" w:color="auto"/>
      </w:divBdr>
    </w:div>
    <w:div w:id="271978036">
      <w:bodyDiv w:val="1"/>
      <w:marLeft w:val="0"/>
      <w:marRight w:val="0"/>
      <w:marTop w:val="0"/>
      <w:marBottom w:val="0"/>
      <w:divBdr>
        <w:top w:val="none" w:sz="0" w:space="0" w:color="auto"/>
        <w:left w:val="none" w:sz="0" w:space="0" w:color="auto"/>
        <w:bottom w:val="none" w:sz="0" w:space="0" w:color="auto"/>
        <w:right w:val="none" w:sz="0" w:space="0" w:color="auto"/>
      </w:divBdr>
    </w:div>
    <w:div w:id="286203240">
      <w:bodyDiv w:val="1"/>
      <w:marLeft w:val="0"/>
      <w:marRight w:val="0"/>
      <w:marTop w:val="0"/>
      <w:marBottom w:val="0"/>
      <w:divBdr>
        <w:top w:val="none" w:sz="0" w:space="0" w:color="auto"/>
        <w:left w:val="none" w:sz="0" w:space="0" w:color="auto"/>
        <w:bottom w:val="none" w:sz="0" w:space="0" w:color="auto"/>
        <w:right w:val="none" w:sz="0" w:space="0" w:color="auto"/>
      </w:divBdr>
    </w:div>
    <w:div w:id="297079249">
      <w:bodyDiv w:val="1"/>
      <w:marLeft w:val="0"/>
      <w:marRight w:val="0"/>
      <w:marTop w:val="0"/>
      <w:marBottom w:val="0"/>
      <w:divBdr>
        <w:top w:val="none" w:sz="0" w:space="0" w:color="auto"/>
        <w:left w:val="none" w:sz="0" w:space="0" w:color="auto"/>
        <w:bottom w:val="none" w:sz="0" w:space="0" w:color="auto"/>
        <w:right w:val="none" w:sz="0" w:space="0" w:color="auto"/>
      </w:divBdr>
    </w:div>
    <w:div w:id="299698600">
      <w:bodyDiv w:val="1"/>
      <w:marLeft w:val="0"/>
      <w:marRight w:val="0"/>
      <w:marTop w:val="0"/>
      <w:marBottom w:val="0"/>
      <w:divBdr>
        <w:top w:val="none" w:sz="0" w:space="0" w:color="auto"/>
        <w:left w:val="none" w:sz="0" w:space="0" w:color="auto"/>
        <w:bottom w:val="none" w:sz="0" w:space="0" w:color="auto"/>
        <w:right w:val="none" w:sz="0" w:space="0" w:color="auto"/>
      </w:divBdr>
    </w:div>
    <w:div w:id="317535143">
      <w:bodyDiv w:val="1"/>
      <w:marLeft w:val="0"/>
      <w:marRight w:val="0"/>
      <w:marTop w:val="0"/>
      <w:marBottom w:val="0"/>
      <w:divBdr>
        <w:top w:val="none" w:sz="0" w:space="0" w:color="auto"/>
        <w:left w:val="none" w:sz="0" w:space="0" w:color="auto"/>
        <w:bottom w:val="none" w:sz="0" w:space="0" w:color="auto"/>
        <w:right w:val="none" w:sz="0" w:space="0" w:color="auto"/>
      </w:divBdr>
    </w:div>
    <w:div w:id="318071758">
      <w:bodyDiv w:val="1"/>
      <w:marLeft w:val="0"/>
      <w:marRight w:val="0"/>
      <w:marTop w:val="0"/>
      <w:marBottom w:val="0"/>
      <w:divBdr>
        <w:top w:val="none" w:sz="0" w:space="0" w:color="auto"/>
        <w:left w:val="none" w:sz="0" w:space="0" w:color="auto"/>
        <w:bottom w:val="none" w:sz="0" w:space="0" w:color="auto"/>
        <w:right w:val="none" w:sz="0" w:space="0" w:color="auto"/>
      </w:divBdr>
    </w:div>
    <w:div w:id="366491504">
      <w:bodyDiv w:val="1"/>
      <w:marLeft w:val="0"/>
      <w:marRight w:val="0"/>
      <w:marTop w:val="0"/>
      <w:marBottom w:val="0"/>
      <w:divBdr>
        <w:top w:val="none" w:sz="0" w:space="0" w:color="auto"/>
        <w:left w:val="none" w:sz="0" w:space="0" w:color="auto"/>
        <w:bottom w:val="none" w:sz="0" w:space="0" w:color="auto"/>
        <w:right w:val="none" w:sz="0" w:space="0" w:color="auto"/>
      </w:divBdr>
    </w:div>
    <w:div w:id="402029899">
      <w:bodyDiv w:val="1"/>
      <w:marLeft w:val="0"/>
      <w:marRight w:val="0"/>
      <w:marTop w:val="0"/>
      <w:marBottom w:val="0"/>
      <w:divBdr>
        <w:top w:val="none" w:sz="0" w:space="0" w:color="auto"/>
        <w:left w:val="none" w:sz="0" w:space="0" w:color="auto"/>
        <w:bottom w:val="none" w:sz="0" w:space="0" w:color="auto"/>
        <w:right w:val="none" w:sz="0" w:space="0" w:color="auto"/>
      </w:divBdr>
    </w:div>
    <w:div w:id="439111565">
      <w:bodyDiv w:val="1"/>
      <w:marLeft w:val="0"/>
      <w:marRight w:val="0"/>
      <w:marTop w:val="0"/>
      <w:marBottom w:val="0"/>
      <w:divBdr>
        <w:top w:val="none" w:sz="0" w:space="0" w:color="auto"/>
        <w:left w:val="none" w:sz="0" w:space="0" w:color="auto"/>
        <w:bottom w:val="none" w:sz="0" w:space="0" w:color="auto"/>
        <w:right w:val="none" w:sz="0" w:space="0" w:color="auto"/>
      </w:divBdr>
    </w:div>
    <w:div w:id="463742723">
      <w:bodyDiv w:val="1"/>
      <w:marLeft w:val="0"/>
      <w:marRight w:val="0"/>
      <w:marTop w:val="0"/>
      <w:marBottom w:val="0"/>
      <w:divBdr>
        <w:top w:val="none" w:sz="0" w:space="0" w:color="auto"/>
        <w:left w:val="none" w:sz="0" w:space="0" w:color="auto"/>
        <w:bottom w:val="none" w:sz="0" w:space="0" w:color="auto"/>
        <w:right w:val="none" w:sz="0" w:space="0" w:color="auto"/>
      </w:divBdr>
    </w:div>
    <w:div w:id="464587752">
      <w:bodyDiv w:val="1"/>
      <w:marLeft w:val="0"/>
      <w:marRight w:val="0"/>
      <w:marTop w:val="0"/>
      <w:marBottom w:val="0"/>
      <w:divBdr>
        <w:top w:val="none" w:sz="0" w:space="0" w:color="auto"/>
        <w:left w:val="none" w:sz="0" w:space="0" w:color="auto"/>
        <w:bottom w:val="none" w:sz="0" w:space="0" w:color="auto"/>
        <w:right w:val="none" w:sz="0" w:space="0" w:color="auto"/>
      </w:divBdr>
    </w:div>
    <w:div w:id="527837419">
      <w:bodyDiv w:val="1"/>
      <w:marLeft w:val="0"/>
      <w:marRight w:val="0"/>
      <w:marTop w:val="0"/>
      <w:marBottom w:val="0"/>
      <w:divBdr>
        <w:top w:val="none" w:sz="0" w:space="0" w:color="auto"/>
        <w:left w:val="none" w:sz="0" w:space="0" w:color="auto"/>
        <w:bottom w:val="none" w:sz="0" w:space="0" w:color="auto"/>
        <w:right w:val="none" w:sz="0" w:space="0" w:color="auto"/>
      </w:divBdr>
    </w:div>
    <w:div w:id="536700746">
      <w:bodyDiv w:val="1"/>
      <w:marLeft w:val="0"/>
      <w:marRight w:val="0"/>
      <w:marTop w:val="0"/>
      <w:marBottom w:val="0"/>
      <w:divBdr>
        <w:top w:val="none" w:sz="0" w:space="0" w:color="auto"/>
        <w:left w:val="none" w:sz="0" w:space="0" w:color="auto"/>
        <w:bottom w:val="none" w:sz="0" w:space="0" w:color="auto"/>
        <w:right w:val="none" w:sz="0" w:space="0" w:color="auto"/>
      </w:divBdr>
    </w:div>
    <w:div w:id="555775887">
      <w:bodyDiv w:val="1"/>
      <w:marLeft w:val="0"/>
      <w:marRight w:val="0"/>
      <w:marTop w:val="0"/>
      <w:marBottom w:val="0"/>
      <w:divBdr>
        <w:top w:val="none" w:sz="0" w:space="0" w:color="auto"/>
        <w:left w:val="none" w:sz="0" w:space="0" w:color="auto"/>
        <w:bottom w:val="none" w:sz="0" w:space="0" w:color="auto"/>
        <w:right w:val="none" w:sz="0" w:space="0" w:color="auto"/>
      </w:divBdr>
    </w:div>
    <w:div w:id="585190955">
      <w:bodyDiv w:val="1"/>
      <w:marLeft w:val="0"/>
      <w:marRight w:val="0"/>
      <w:marTop w:val="0"/>
      <w:marBottom w:val="0"/>
      <w:divBdr>
        <w:top w:val="none" w:sz="0" w:space="0" w:color="auto"/>
        <w:left w:val="none" w:sz="0" w:space="0" w:color="auto"/>
        <w:bottom w:val="none" w:sz="0" w:space="0" w:color="auto"/>
        <w:right w:val="none" w:sz="0" w:space="0" w:color="auto"/>
      </w:divBdr>
    </w:div>
    <w:div w:id="626086233">
      <w:bodyDiv w:val="1"/>
      <w:marLeft w:val="0"/>
      <w:marRight w:val="0"/>
      <w:marTop w:val="0"/>
      <w:marBottom w:val="0"/>
      <w:divBdr>
        <w:top w:val="none" w:sz="0" w:space="0" w:color="auto"/>
        <w:left w:val="none" w:sz="0" w:space="0" w:color="auto"/>
        <w:bottom w:val="none" w:sz="0" w:space="0" w:color="auto"/>
        <w:right w:val="none" w:sz="0" w:space="0" w:color="auto"/>
      </w:divBdr>
    </w:div>
    <w:div w:id="657658204">
      <w:bodyDiv w:val="1"/>
      <w:marLeft w:val="0"/>
      <w:marRight w:val="0"/>
      <w:marTop w:val="0"/>
      <w:marBottom w:val="0"/>
      <w:divBdr>
        <w:top w:val="none" w:sz="0" w:space="0" w:color="auto"/>
        <w:left w:val="none" w:sz="0" w:space="0" w:color="auto"/>
        <w:bottom w:val="none" w:sz="0" w:space="0" w:color="auto"/>
        <w:right w:val="none" w:sz="0" w:space="0" w:color="auto"/>
      </w:divBdr>
    </w:div>
    <w:div w:id="663776873">
      <w:bodyDiv w:val="1"/>
      <w:marLeft w:val="0"/>
      <w:marRight w:val="0"/>
      <w:marTop w:val="0"/>
      <w:marBottom w:val="0"/>
      <w:divBdr>
        <w:top w:val="none" w:sz="0" w:space="0" w:color="auto"/>
        <w:left w:val="none" w:sz="0" w:space="0" w:color="auto"/>
        <w:bottom w:val="none" w:sz="0" w:space="0" w:color="auto"/>
        <w:right w:val="none" w:sz="0" w:space="0" w:color="auto"/>
      </w:divBdr>
    </w:div>
    <w:div w:id="737360571">
      <w:bodyDiv w:val="1"/>
      <w:marLeft w:val="0"/>
      <w:marRight w:val="0"/>
      <w:marTop w:val="0"/>
      <w:marBottom w:val="0"/>
      <w:divBdr>
        <w:top w:val="none" w:sz="0" w:space="0" w:color="auto"/>
        <w:left w:val="none" w:sz="0" w:space="0" w:color="auto"/>
        <w:bottom w:val="none" w:sz="0" w:space="0" w:color="auto"/>
        <w:right w:val="none" w:sz="0" w:space="0" w:color="auto"/>
      </w:divBdr>
    </w:div>
    <w:div w:id="740710233">
      <w:bodyDiv w:val="1"/>
      <w:marLeft w:val="0"/>
      <w:marRight w:val="0"/>
      <w:marTop w:val="0"/>
      <w:marBottom w:val="0"/>
      <w:divBdr>
        <w:top w:val="none" w:sz="0" w:space="0" w:color="auto"/>
        <w:left w:val="none" w:sz="0" w:space="0" w:color="auto"/>
        <w:bottom w:val="none" w:sz="0" w:space="0" w:color="auto"/>
        <w:right w:val="none" w:sz="0" w:space="0" w:color="auto"/>
      </w:divBdr>
    </w:div>
    <w:div w:id="748816332">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69935485">
      <w:bodyDiv w:val="1"/>
      <w:marLeft w:val="0"/>
      <w:marRight w:val="0"/>
      <w:marTop w:val="0"/>
      <w:marBottom w:val="0"/>
      <w:divBdr>
        <w:top w:val="none" w:sz="0" w:space="0" w:color="auto"/>
        <w:left w:val="none" w:sz="0" w:space="0" w:color="auto"/>
        <w:bottom w:val="none" w:sz="0" w:space="0" w:color="auto"/>
        <w:right w:val="none" w:sz="0" w:space="0" w:color="auto"/>
      </w:divBdr>
    </w:div>
    <w:div w:id="776678587">
      <w:bodyDiv w:val="1"/>
      <w:marLeft w:val="0"/>
      <w:marRight w:val="0"/>
      <w:marTop w:val="0"/>
      <w:marBottom w:val="0"/>
      <w:divBdr>
        <w:top w:val="none" w:sz="0" w:space="0" w:color="auto"/>
        <w:left w:val="none" w:sz="0" w:space="0" w:color="auto"/>
        <w:bottom w:val="none" w:sz="0" w:space="0" w:color="auto"/>
        <w:right w:val="none" w:sz="0" w:space="0" w:color="auto"/>
      </w:divBdr>
    </w:div>
    <w:div w:id="778063412">
      <w:bodyDiv w:val="1"/>
      <w:marLeft w:val="0"/>
      <w:marRight w:val="0"/>
      <w:marTop w:val="0"/>
      <w:marBottom w:val="0"/>
      <w:divBdr>
        <w:top w:val="none" w:sz="0" w:space="0" w:color="auto"/>
        <w:left w:val="none" w:sz="0" w:space="0" w:color="auto"/>
        <w:bottom w:val="none" w:sz="0" w:space="0" w:color="auto"/>
        <w:right w:val="none" w:sz="0" w:space="0" w:color="auto"/>
      </w:divBdr>
    </w:div>
    <w:div w:id="807547919">
      <w:bodyDiv w:val="1"/>
      <w:marLeft w:val="0"/>
      <w:marRight w:val="0"/>
      <w:marTop w:val="0"/>
      <w:marBottom w:val="0"/>
      <w:divBdr>
        <w:top w:val="none" w:sz="0" w:space="0" w:color="auto"/>
        <w:left w:val="none" w:sz="0" w:space="0" w:color="auto"/>
        <w:bottom w:val="none" w:sz="0" w:space="0" w:color="auto"/>
        <w:right w:val="none" w:sz="0" w:space="0" w:color="auto"/>
      </w:divBdr>
    </w:div>
    <w:div w:id="813302960">
      <w:bodyDiv w:val="1"/>
      <w:marLeft w:val="0"/>
      <w:marRight w:val="0"/>
      <w:marTop w:val="0"/>
      <w:marBottom w:val="0"/>
      <w:divBdr>
        <w:top w:val="none" w:sz="0" w:space="0" w:color="auto"/>
        <w:left w:val="none" w:sz="0" w:space="0" w:color="auto"/>
        <w:bottom w:val="none" w:sz="0" w:space="0" w:color="auto"/>
        <w:right w:val="none" w:sz="0" w:space="0" w:color="auto"/>
      </w:divBdr>
    </w:div>
    <w:div w:id="816454228">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67715178">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29657104">
      <w:bodyDiv w:val="1"/>
      <w:marLeft w:val="0"/>
      <w:marRight w:val="0"/>
      <w:marTop w:val="0"/>
      <w:marBottom w:val="0"/>
      <w:divBdr>
        <w:top w:val="none" w:sz="0" w:space="0" w:color="auto"/>
        <w:left w:val="none" w:sz="0" w:space="0" w:color="auto"/>
        <w:bottom w:val="none" w:sz="0" w:space="0" w:color="auto"/>
        <w:right w:val="none" w:sz="0" w:space="0" w:color="auto"/>
      </w:divBdr>
    </w:div>
    <w:div w:id="940529377">
      <w:bodyDiv w:val="1"/>
      <w:marLeft w:val="0"/>
      <w:marRight w:val="0"/>
      <w:marTop w:val="0"/>
      <w:marBottom w:val="0"/>
      <w:divBdr>
        <w:top w:val="none" w:sz="0" w:space="0" w:color="auto"/>
        <w:left w:val="none" w:sz="0" w:space="0" w:color="auto"/>
        <w:bottom w:val="none" w:sz="0" w:space="0" w:color="auto"/>
        <w:right w:val="none" w:sz="0" w:space="0" w:color="auto"/>
      </w:divBdr>
    </w:div>
    <w:div w:id="972717186">
      <w:bodyDiv w:val="1"/>
      <w:marLeft w:val="0"/>
      <w:marRight w:val="0"/>
      <w:marTop w:val="0"/>
      <w:marBottom w:val="0"/>
      <w:divBdr>
        <w:top w:val="none" w:sz="0" w:space="0" w:color="auto"/>
        <w:left w:val="none" w:sz="0" w:space="0" w:color="auto"/>
        <w:bottom w:val="none" w:sz="0" w:space="0" w:color="auto"/>
        <w:right w:val="none" w:sz="0" w:space="0" w:color="auto"/>
      </w:divBdr>
    </w:div>
    <w:div w:id="1016931396">
      <w:bodyDiv w:val="1"/>
      <w:marLeft w:val="0"/>
      <w:marRight w:val="0"/>
      <w:marTop w:val="0"/>
      <w:marBottom w:val="0"/>
      <w:divBdr>
        <w:top w:val="none" w:sz="0" w:space="0" w:color="auto"/>
        <w:left w:val="none" w:sz="0" w:space="0" w:color="auto"/>
        <w:bottom w:val="none" w:sz="0" w:space="0" w:color="auto"/>
        <w:right w:val="none" w:sz="0" w:space="0" w:color="auto"/>
      </w:divBdr>
    </w:div>
    <w:div w:id="1096294746">
      <w:bodyDiv w:val="1"/>
      <w:marLeft w:val="0"/>
      <w:marRight w:val="0"/>
      <w:marTop w:val="0"/>
      <w:marBottom w:val="0"/>
      <w:divBdr>
        <w:top w:val="none" w:sz="0" w:space="0" w:color="auto"/>
        <w:left w:val="none" w:sz="0" w:space="0" w:color="auto"/>
        <w:bottom w:val="none" w:sz="0" w:space="0" w:color="auto"/>
        <w:right w:val="none" w:sz="0" w:space="0" w:color="auto"/>
      </w:divBdr>
    </w:div>
    <w:div w:id="1125351351">
      <w:bodyDiv w:val="1"/>
      <w:marLeft w:val="0"/>
      <w:marRight w:val="0"/>
      <w:marTop w:val="0"/>
      <w:marBottom w:val="0"/>
      <w:divBdr>
        <w:top w:val="none" w:sz="0" w:space="0" w:color="auto"/>
        <w:left w:val="none" w:sz="0" w:space="0" w:color="auto"/>
        <w:bottom w:val="none" w:sz="0" w:space="0" w:color="auto"/>
        <w:right w:val="none" w:sz="0" w:space="0" w:color="auto"/>
      </w:divBdr>
    </w:div>
    <w:div w:id="1187794879">
      <w:bodyDiv w:val="1"/>
      <w:marLeft w:val="0"/>
      <w:marRight w:val="0"/>
      <w:marTop w:val="0"/>
      <w:marBottom w:val="0"/>
      <w:divBdr>
        <w:top w:val="none" w:sz="0" w:space="0" w:color="auto"/>
        <w:left w:val="none" w:sz="0" w:space="0" w:color="auto"/>
        <w:bottom w:val="none" w:sz="0" w:space="0" w:color="auto"/>
        <w:right w:val="none" w:sz="0" w:space="0" w:color="auto"/>
      </w:divBdr>
    </w:div>
    <w:div w:id="1190601327">
      <w:bodyDiv w:val="1"/>
      <w:marLeft w:val="0"/>
      <w:marRight w:val="0"/>
      <w:marTop w:val="0"/>
      <w:marBottom w:val="0"/>
      <w:divBdr>
        <w:top w:val="none" w:sz="0" w:space="0" w:color="auto"/>
        <w:left w:val="none" w:sz="0" w:space="0" w:color="auto"/>
        <w:bottom w:val="none" w:sz="0" w:space="0" w:color="auto"/>
        <w:right w:val="none" w:sz="0" w:space="0" w:color="auto"/>
      </w:divBdr>
    </w:div>
    <w:div w:id="1212958436">
      <w:bodyDiv w:val="1"/>
      <w:marLeft w:val="0"/>
      <w:marRight w:val="0"/>
      <w:marTop w:val="0"/>
      <w:marBottom w:val="0"/>
      <w:divBdr>
        <w:top w:val="none" w:sz="0" w:space="0" w:color="auto"/>
        <w:left w:val="none" w:sz="0" w:space="0" w:color="auto"/>
        <w:bottom w:val="none" w:sz="0" w:space="0" w:color="auto"/>
        <w:right w:val="none" w:sz="0" w:space="0" w:color="auto"/>
      </w:divBdr>
    </w:div>
    <w:div w:id="1247378887">
      <w:bodyDiv w:val="1"/>
      <w:marLeft w:val="0"/>
      <w:marRight w:val="0"/>
      <w:marTop w:val="0"/>
      <w:marBottom w:val="0"/>
      <w:divBdr>
        <w:top w:val="none" w:sz="0" w:space="0" w:color="auto"/>
        <w:left w:val="none" w:sz="0" w:space="0" w:color="auto"/>
        <w:bottom w:val="none" w:sz="0" w:space="0" w:color="auto"/>
        <w:right w:val="none" w:sz="0" w:space="0" w:color="auto"/>
      </w:divBdr>
    </w:div>
    <w:div w:id="1278176947">
      <w:bodyDiv w:val="1"/>
      <w:marLeft w:val="0"/>
      <w:marRight w:val="0"/>
      <w:marTop w:val="0"/>
      <w:marBottom w:val="0"/>
      <w:divBdr>
        <w:top w:val="none" w:sz="0" w:space="0" w:color="auto"/>
        <w:left w:val="none" w:sz="0" w:space="0" w:color="auto"/>
        <w:bottom w:val="none" w:sz="0" w:space="0" w:color="auto"/>
        <w:right w:val="none" w:sz="0" w:space="0" w:color="auto"/>
      </w:divBdr>
    </w:div>
    <w:div w:id="1297106824">
      <w:bodyDiv w:val="1"/>
      <w:marLeft w:val="0"/>
      <w:marRight w:val="0"/>
      <w:marTop w:val="0"/>
      <w:marBottom w:val="0"/>
      <w:divBdr>
        <w:top w:val="none" w:sz="0" w:space="0" w:color="auto"/>
        <w:left w:val="none" w:sz="0" w:space="0" w:color="auto"/>
        <w:bottom w:val="none" w:sz="0" w:space="0" w:color="auto"/>
        <w:right w:val="none" w:sz="0" w:space="0" w:color="auto"/>
      </w:divBdr>
    </w:div>
    <w:div w:id="1313876319">
      <w:bodyDiv w:val="1"/>
      <w:marLeft w:val="0"/>
      <w:marRight w:val="0"/>
      <w:marTop w:val="0"/>
      <w:marBottom w:val="0"/>
      <w:divBdr>
        <w:top w:val="none" w:sz="0" w:space="0" w:color="auto"/>
        <w:left w:val="none" w:sz="0" w:space="0" w:color="auto"/>
        <w:bottom w:val="none" w:sz="0" w:space="0" w:color="auto"/>
        <w:right w:val="none" w:sz="0" w:space="0" w:color="auto"/>
      </w:divBdr>
    </w:div>
    <w:div w:id="1350985886">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413817696">
      <w:bodyDiv w:val="1"/>
      <w:marLeft w:val="0"/>
      <w:marRight w:val="0"/>
      <w:marTop w:val="0"/>
      <w:marBottom w:val="0"/>
      <w:divBdr>
        <w:top w:val="none" w:sz="0" w:space="0" w:color="auto"/>
        <w:left w:val="none" w:sz="0" w:space="0" w:color="auto"/>
        <w:bottom w:val="none" w:sz="0" w:space="0" w:color="auto"/>
        <w:right w:val="none" w:sz="0" w:space="0" w:color="auto"/>
      </w:divBdr>
    </w:div>
    <w:div w:id="1414817989">
      <w:bodyDiv w:val="1"/>
      <w:marLeft w:val="0"/>
      <w:marRight w:val="0"/>
      <w:marTop w:val="0"/>
      <w:marBottom w:val="0"/>
      <w:divBdr>
        <w:top w:val="none" w:sz="0" w:space="0" w:color="auto"/>
        <w:left w:val="none" w:sz="0" w:space="0" w:color="auto"/>
        <w:bottom w:val="none" w:sz="0" w:space="0" w:color="auto"/>
        <w:right w:val="none" w:sz="0" w:space="0" w:color="auto"/>
      </w:divBdr>
    </w:div>
    <w:div w:id="1445811254">
      <w:bodyDiv w:val="1"/>
      <w:marLeft w:val="0"/>
      <w:marRight w:val="0"/>
      <w:marTop w:val="0"/>
      <w:marBottom w:val="0"/>
      <w:divBdr>
        <w:top w:val="none" w:sz="0" w:space="0" w:color="auto"/>
        <w:left w:val="none" w:sz="0" w:space="0" w:color="auto"/>
        <w:bottom w:val="none" w:sz="0" w:space="0" w:color="auto"/>
        <w:right w:val="none" w:sz="0" w:space="0" w:color="auto"/>
      </w:divBdr>
      <w:divsChild>
        <w:div w:id="223834018">
          <w:marLeft w:val="0"/>
          <w:marRight w:val="0"/>
          <w:marTop w:val="0"/>
          <w:marBottom w:val="0"/>
          <w:divBdr>
            <w:top w:val="none" w:sz="0" w:space="0" w:color="auto"/>
            <w:left w:val="none" w:sz="0" w:space="0" w:color="auto"/>
            <w:bottom w:val="none" w:sz="0" w:space="0" w:color="auto"/>
            <w:right w:val="none" w:sz="0" w:space="0" w:color="auto"/>
          </w:divBdr>
          <w:divsChild>
            <w:div w:id="1669557359">
              <w:marLeft w:val="0"/>
              <w:marRight w:val="0"/>
              <w:marTop w:val="0"/>
              <w:marBottom w:val="300"/>
              <w:divBdr>
                <w:top w:val="none" w:sz="0" w:space="0" w:color="auto"/>
                <w:left w:val="none" w:sz="0" w:space="0" w:color="auto"/>
                <w:bottom w:val="none" w:sz="0" w:space="0" w:color="auto"/>
                <w:right w:val="none" w:sz="0" w:space="0" w:color="auto"/>
              </w:divBdr>
              <w:divsChild>
                <w:div w:id="1753772453">
                  <w:marLeft w:val="0"/>
                  <w:marRight w:val="0"/>
                  <w:marTop w:val="0"/>
                  <w:marBottom w:val="0"/>
                  <w:divBdr>
                    <w:top w:val="none" w:sz="0" w:space="0" w:color="auto"/>
                    <w:left w:val="none" w:sz="0" w:space="0" w:color="auto"/>
                    <w:bottom w:val="none" w:sz="0" w:space="0" w:color="auto"/>
                    <w:right w:val="none" w:sz="0" w:space="0" w:color="auto"/>
                  </w:divBdr>
                  <w:divsChild>
                    <w:div w:id="1686402909">
                      <w:marLeft w:val="0"/>
                      <w:marRight w:val="0"/>
                      <w:marTop w:val="0"/>
                      <w:marBottom w:val="0"/>
                      <w:divBdr>
                        <w:top w:val="none" w:sz="0" w:space="0" w:color="auto"/>
                        <w:left w:val="single" w:sz="6" w:space="0" w:color="EEEEEE"/>
                        <w:bottom w:val="none" w:sz="0" w:space="0" w:color="auto"/>
                        <w:right w:val="none" w:sz="0" w:space="0" w:color="auto"/>
                      </w:divBdr>
                      <w:divsChild>
                        <w:div w:id="1970164057">
                          <w:marLeft w:val="0"/>
                          <w:marRight w:val="0"/>
                          <w:marTop w:val="0"/>
                          <w:marBottom w:val="150"/>
                          <w:divBdr>
                            <w:top w:val="none" w:sz="0" w:space="0" w:color="auto"/>
                            <w:left w:val="none" w:sz="0" w:space="0" w:color="auto"/>
                            <w:bottom w:val="none" w:sz="0" w:space="0" w:color="auto"/>
                            <w:right w:val="none" w:sz="0" w:space="0" w:color="auto"/>
                          </w:divBdr>
                          <w:divsChild>
                            <w:div w:id="16650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62527">
      <w:bodyDiv w:val="1"/>
      <w:marLeft w:val="0"/>
      <w:marRight w:val="0"/>
      <w:marTop w:val="0"/>
      <w:marBottom w:val="0"/>
      <w:divBdr>
        <w:top w:val="none" w:sz="0" w:space="0" w:color="auto"/>
        <w:left w:val="none" w:sz="0" w:space="0" w:color="auto"/>
        <w:bottom w:val="none" w:sz="0" w:space="0" w:color="auto"/>
        <w:right w:val="none" w:sz="0" w:space="0" w:color="auto"/>
      </w:divBdr>
    </w:div>
    <w:div w:id="1491943774">
      <w:bodyDiv w:val="1"/>
      <w:marLeft w:val="0"/>
      <w:marRight w:val="0"/>
      <w:marTop w:val="0"/>
      <w:marBottom w:val="0"/>
      <w:divBdr>
        <w:top w:val="none" w:sz="0" w:space="0" w:color="auto"/>
        <w:left w:val="none" w:sz="0" w:space="0" w:color="auto"/>
        <w:bottom w:val="none" w:sz="0" w:space="0" w:color="auto"/>
        <w:right w:val="none" w:sz="0" w:space="0" w:color="auto"/>
      </w:divBdr>
    </w:div>
    <w:div w:id="1506240824">
      <w:bodyDiv w:val="1"/>
      <w:marLeft w:val="0"/>
      <w:marRight w:val="0"/>
      <w:marTop w:val="0"/>
      <w:marBottom w:val="0"/>
      <w:divBdr>
        <w:top w:val="none" w:sz="0" w:space="0" w:color="auto"/>
        <w:left w:val="none" w:sz="0" w:space="0" w:color="auto"/>
        <w:bottom w:val="none" w:sz="0" w:space="0" w:color="auto"/>
        <w:right w:val="none" w:sz="0" w:space="0" w:color="auto"/>
      </w:divBdr>
    </w:div>
    <w:div w:id="1507597018">
      <w:bodyDiv w:val="1"/>
      <w:marLeft w:val="0"/>
      <w:marRight w:val="0"/>
      <w:marTop w:val="0"/>
      <w:marBottom w:val="0"/>
      <w:divBdr>
        <w:top w:val="none" w:sz="0" w:space="0" w:color="auto"/>
        <w:left w:val="none" w:sz="0" w:space="0" w:color="auto"/>
        <w:bottom w:val="none" w:sz="0" w:space="0" w:color="auto"/>
        <w:right w:val="none" w:sz="0" w:space="0" w:color="auto"/>
      </w:divBdr>
    </w:div>
    <w:div w:id="1509558927">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0191">
      <w:bodyDiv w:val="1"/>
      <w:marLeft w:val="0"/>
      <w:marRight w:val="0"/>
      <w:marTop w:val="0"/>
      <w:marBottom w:val="0"/>
      <w:divBdr>
        <w:top w:val="none" w:sz="0" w:space="0" w:color="auto"/>
        <w:left w:val="none" w:sz="0" w:space="0" w:color="auto"/>
        <w:bottom w:val="none" w:sz="0" w:space="0" w:color="auto"/>
        <w:right w:val="none" w:sz="0" w:space="0" w:color="auto"/>
      </w:divBdr>
    </w:div>
    <w:div w:id="1603797953">
      <w:bodyDiv w:val="1"/>
      <w:marLeft w:val="0"/>
      <w:marRight w:val="0"/>
      <w:marTop w:val="0"/>
      <w:marBottom w:val="0"/>
      <w:divBdr>
        <w:top w:val="none" w:sz="0" w:space="0" w:color="auto"/>
        <w:left w:val="none" w:sz="0" w:space="0" w:color="auto"/>
        <w:bottom w:val="none" w:sz="0" w:space="0" w:color="auto"/>
        <w:right w:val="none" w:sz="0" w:space="0" w:color="auto"/>
      </w:divBdr>
    </w:div>
    <w:div w:id="1620641830">
      <w:bodyDiv w:val="1"/>
      <w:marLeft w:val="0"/>
      <w:marRight w:val="0"/>
      <w:marTop w:val="0"/>
      <w:marBottom w:val="0"/>
      <w:divBdr>
        <w:top w:val="none" w:sz="0" w:space="0" w:color="auto"/>
        <w:left w:val="none" w:sz="0" w:space="0" w:color="auto"/>
        <w:bottom w:val="none" w:sz="0" w:space="0" w:color="auto"/>
        <w:right w:val="none" w:sz="0" w:space="0" w:color="auto"/>
      </w:divBdr>
    </w:div>
    <w:div w:id="1638221186">
      <w:bodyDiv w:val="1"/>
      <w:marLeft w:val="0"/>
      <w:marRight w:val="0"/>
      <w:marTop w:val="0"/>
      <w:marBottom w:val="0"/>
      <w:divBdr>
        <w:top w:val="none" w:sz="0" w:space="0" w:color="auto"/>
        <w:left w:val="none" w:sz="0" w:space="0" w:color="auto"/>
        <w:bottom w:val="none" w:sz="0" w:space="0" w:color="auto"/>
        <w:right w:val="none" w:sz="0" w:space="0" w:color="auto"/>
      </w:divBdr>
    </w:div>
    <w:div w:id="1645352668">
      <w:bodyDiv w:val="1"/>
      <w:marLeft w:val="0"/>
      <w:marRight w:val="0"/>
      <w:marTop w:val="0"/>
      <w:marBottom w:val="0"/>
      <w:divBdr>
        <w:top w:val="none" w:sz="0" w:space="0" w:color="auto"/>
        <w:left w:val="none" w:sz="0" w:space="0" w:color="auto"/>
        <w:bottom w:val="none" w:sz="0" w:space="0" w:color="auto"/>
        <w:right w:val="none" w:sz="0" w:space="0" w:color="auto"/>
      </w:divBdr>
    </w:div>
    <w:div w:id="1683781302">
      <w:bodyDiv w:val="1"/>
      <w:marLeft w:val="0"/>
      <w:marRight w:val="0"/>
      <w:marTop w:val="0"/>
      <w:marBottom w:val="0"/>
      <w:divBdr>
        <w:top w:val="none" w:sz="0" w:space="0" w:color="auto"/>
        <w:left w:val="none" w:sz="0" w:space="0" w:color="auto"/>
        <w:bottom w:val="none" w:sz="0" w:space="0" w:color="auto"/>
        <w:right w:val="none" w:sz="0" w:space="0" w:color="auto"/>
      </w:divBdr>
    </w:div>
    <w:div w:id="1697537745">
      <w:bodyDiv w:val="1"/>
      <w:marLeft w:val="0"/>
      <w:marRight w:val="0"/>
      <w:marTop w:val="0"/>
      <w:marBottom w:val="0"/>
      <w:divBdr>
        <w:top w:val="none" w:sz="0" w:space="0" w:color="auto"/>
        <w:left w:val="none" w:sz="0" w:space="0" w:color="auto"/>
        <w:bottom w:val="none" w:sz="0" w:space="0" w:color="auto"/>
        <w:right w:val="none" w:sz="0" w:space="0" w:color="auto"/>
      </w:divBdr>
    </w:div>
    <w:div w:id="1725444269">
      <w:bodyDiv w:val="1"/>
      <w:marLeft w:val="0"/>
      <w:marRight w:val="0"/>
      <w:marTop w:val="0"/>
      <w:marBottom w:val="0"/>
      <w:divBdr>
        <w:top w:val="none" w:sz="0" w:space="0" w:color="auto"/>
        <w:left w:val="none" w:sz="0" w:space="0" w:color="auto"/>
        <w:bottom w:val="none" w:sz="0" w:space="0" w:color="auto"/>
        <w:right w:val="none" w:sz="0" w:space="0" w:color="auto"/>
      </w:divBdr>
    </w:div>
    <w:div w:id="1785270060">
      <w:bodyDiv w:val="1"/>
      <w:marLeft w:val="0"/>
      <w:marRight w:val="0"/>
      <w:marTop w:val="0"/>
      <w:marBottom w:val="0"/>
      <w:divBdr>
        <w:top w:val="none" w:sz="0" w:space="0" w:color="auto"/>
        <w:left w:val="none" w:sz="0" w:space="0" w:color="auto"/>
        <w:bottom w:val="none" w:sz="0" w:space="0" w:color="auto"/>
        <w:right w:val="none" w:sz="0" w:space="0" w:color="auto"/>
      </w:divBdr>
    </w:div>
    <w:div w:id="1793285367">
      <w:bodyDiv w:val="1"/>
      <w:marLeft w:val="0"/>
      <w:marRight w:val="0"/>
      <w:marTop w:val="0"/>
      <w:marBottom w:val="0"/>
      <w:divBdr>
        <w:top w:val="none" w:sz="0" w:space="0" w:color="auto"/>
        <w:left w:val="none" w:sz="0" w:space="0" w:color="auto"/>
        <w:bottom w:val="none" w:sz="0" w:space="0" w:color="auto"/>
        <w:right w:val="none" w:sz="0" w:space="0" w:color="auto"/>
      </w:divBdr>
    </w:div>
    <w:div w:id="1798716347">
      <w:bodyDiv w:val="1"/>
      <w:marLeft w:val="0"/>
      <w:marRight w:val="0"/>
      <w:marTop w:val="0"/>
      <w:marBottom w:val="0"/>
      <w:divBdr>
        <w:top w:val="none" w:sz="0" w:space="0" w:color="auto"/>
        <w:left w:val="none" w:sz="0" w:space="0" w:color="auto"/>
        <w:bottom w:val="none" w:sz="0" w:space="0" w:color="auto"/>
        <w:right w:val="none" w:sz="0" w:space="0" w:color="auto"/>
      </w:divBdr>
    </w:div>
    <w:div w:id="1820002096">
      <w:bodyDiv w:val="1"/>
      <w:marLeft w:val="0"/>
      <w:marRight w:val="0"/>
      <w:marTop w:val="0"/>
      <w:marBottom w:val="0"/>
      <w:divBdr>
        <w:top w:val="none" w:sz="0" w:space="0" w:color="auto"/>
        <w:left w:val="none" w:sz="0" w:space="0" w:color="auto"/>
        <w:bottom w:val="none" w:sz="0" w:space="0" w:color="auto"/>
        <w:right w:val="none" w:sz="0" w:space="0" w:color="auto"/>
      </w:divBdr>
    </w:div>
    <w:div w:id="1852331969">
      <w:bodyDiv w:val="1"/>
      <w:marLeft w:val="0"/>
      <w:marRight w:val="0"/>
      <w:marTop w:val="0"/>
      <w:marBottom w:val="0"/>
      <w:divBdr>
        <w:top w:val="none" w:sz="0" w:space="0" w:color="auto"/>
        <w:left w:val="none" w:sz="0" w:space="0" w:color="auto"/>
        <w:bottom w:val="none" w:sz="0" w:space="0" w:color="auto"/>
        <w:right w:val="none" w:sz="0" w:space="0" w:color="auto"/>
      </w:divBdr>
    </w:div>
    <w:div w:id="1868829555">
      <w:bodyDiv w:val="1"/>
      <w:marLeft w:val="0"/>
      <w:marRight w:val="0"/>
      <w:marTop w:val="0"/>
      <w:marBottom w:val="0"/>
      <w:divBdr>
        <w:top w:val="none" w:sz="0" w:space="0" w:color="auto"/>
        <w:left w:val="none" w:sz="0" w:space="0" w:color="auto"/>
        <w:bottom w:val="none" w:sz="0" w:space="0" w:color="auto"/>
        <w:right w:val="none" w:sz="0" w:space="0" w:color="auto"/>
      </w:divBdr>
    </w:div>
    <w:div w:id="1925992000">
      <w:bodyDiv w:val="1"/>
      <w:marLeft w:val="0"/>
      <w:marRight w:val="0"/>
      <w:marTop w:val="0"/>
      <w:marBottom w:val="0"/>
      <w:divBdr>
        <w:top w:val="none" w:sz="0" w:space="0" w:color="auto"/>
        <w:left w:val="none" w:sz="0" w:space="0" w:color="auto"/>
        <w:bottom w:val="none" w:sz="0" w:space="0" w:color="auto"/>
        <w:right w:val="none" w:sz="0" w:space="0" w:color="auto"/>
      </w:divBdr>
    </w:div>
    <w:div w:id="1945337734">
      <w:bodyDiv w:val="1"/>
      <w:marLeft w:val="0"/>
      <w:marRight w:val="0"/>
      <w:marTop w:val="0"/>
      <w:marBottom w:val="0"/>
      <w:divBdr>
        <w:top w:val="none" w:sz="0" w:space="0" w:color="auto"/>
        <w:left w:val="none" w:sz="0" w:space="0" w:color="auto"/>
        <w:bottom w:val="none" w:sz="0" w:space="0" w:color="auto"/>
        <w:right w:val="none" w:sz="0" w:space="0" w:color="auto"/>
      </w:divBdr>
    </w:div>
    <w:div w:id="1962761279">
      <w:bodyDiv w:val="1"/>
      <w:marLeft w:val="0"/>
      <w:marRight w:val="0"/>
      <w:marTop w:val="0"/>
      <w:marBottom w:val="0"/>
      <w:divBdr>
        <w:top w:val="none" w:sz="0" w:space="0" w:color="auto"/>
        <w:left w:val="none" w:sz="0" w:space="0" w:color="auto"/>
        <w:bottom w:val="none" w:sz="0" w:space="0" w:color="auto"/>
        <w:right w:val="none" w:sz="0" w:space="0" w:color="auto"/>
      </w:divBdr>
    </w:div>
    <w:div w:id="1968391863">
      <w:bodyDiv w:val="1"/>
      <w:marLeft w:val="0"/>
      <w:marRight w:val="0"/>
      <w:marTop w:val="0"/>
      <w:marBottom w:val="0"/>
      <w:divBdr>
        <w:top w:val="none" w:sz="0" w:space="0" w:color="auto"/>
        <w:left w:val="none" w:sz="0" w:space="0" w:color="auto"/>
        <w:bottom w:val="none" w:sz="0" w:space="0" w:color="auto"/>
        <w:right w:val="none" w:sz="0" w:space="0" w:color="auto"/>
      </w:divBdr>
    </w:div>
    <w:div w:id="2034380201">
      <w:bodyDiv w:val="1"/>
      <w:marLeft w:val="0"/>
      <w:marRight w:val="0"/>
      <w:marTop w:val="0"/>
      <w:marBottom w:val="0"/>
      <w:divBdr>
        <w:top w:val="none" w:sz="0" w:space="0" w:color="auto"/>
        <w:left w:val="none" w:sz="0" w:space="0" w:color="auto"/>
        <w:bottom w:val="none" w:sz="0" w:space="0" w:color="auto"/>
        <w:right w:val="none" w:sz="0" w:space="0" w:color="auto"/>
      </w:divBdr>
    </w:div>
    <w:div w:id="21233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ADP_East_Inbox@dai.com" TargetMode="External"/><Relationship Id="rId13" Type="http://schemas.openxmlformats.org/officeDocument/2006/relationships/image" Target="media/image1.jpeg"/><Relationship Id="rId18" Type="http://schemas.openxmlformats.org/officeDocument/2006/relationships/hyperlink" Target="https://www.acquisition.gov/sites/default/files/current/far/html/Subpart%202_1.html" TargetMode="External"/><Relationship Id="rId26" Type="http://schemas.openxmlformats.org/officeDocument/2006/relationships/hyperlink" Target="http://www.treas.gov/offices/eotffc/ofac/sdn/t11sdn.pdf" TargetMode="External"/><Relationship Id="rId3" Type="http://schemas.openxmlformats.org/officeDocument/2006/relationships/styles" Target="styles.xml"/><Relationship Id="rId21" Type="http://schemas.openxmlformats.org/officeDocument/2006/relationships/hyperlink" Target="http://uscode.house.gov/" TargetMode="External"/><Relationship Id="rId7" Type="http://schemas.openxmlformats.org/officeDocument/2006/relationships/endnotes" Target="endnotes.xml"/><Relationship Id="rId12" Type="http://schemas.openxmlformats.org/officeDocument/2006/relationships/hyperlink" Target="http://www.usaid.gov/policy/ads/300/310mab.pdf" TargetMode="External"/><Relationship Id="rId17" Type="http://schemas.openxmlformats.org/officeDocument/2006/relationships/hyperlink" Target="http://www.SAM.gov" TargetMode="External"/><Relationship Id="rId25" Type="http://schemas.openxmlformats.org/officeDocument/2006/relationships/hyperlink" Target="http://www.state.gov/j/t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uscode.house.gov/" TargetMode="External"/><Relationship Id="rId29" Type="http://schemas.openxmlformats.org/officeDocument/2006/relationships/hyperlink" Target="http://www.treas.gov/offices/enforcement/ofac/s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policy/ads/300/310maa.pdf" TargetMode="External"/><Relationship Id="rId24" Type="http://schemas.openxmlformats.org/officeDocument/2006/relationships/hyperlink" Target="http://www.state.gov/j/ti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uscode.house.gov/" TargetMode="External"/><Relationship Id="rId28" Type="http://schemas.openxmlformats.org/officeDocument/2006/relationships/hyperlink" Target="http://untreaty.un.org/English%20/Terrorism.asp" TargetMode="External"/><Relationship Id="rId10" Type="http://schemas.openxmlformats.org/officeDocument/2006/relationships/hyperlink" Target="mailto:ProcurementRADP_East_Inbox@dai.com" TargetMode="External"/><Relationship Id="rId19" Type="http://schemas.openxmlformats.org/officeDocument/2006/relationships/hyperlink" Target="http://uscode.house.gov/" TargetMode="External"/><Relationship Id="rId31" Type="http://schemas.openxmlformats.org/officeDocument/2006/relationships/hyperlink" Target="mailto:ProcurementRADP_East_Inbox@dai.com" TargetMode="External"/><Relationship Id="rId4" Type="http://schemas.openxmlformats.org/officeDocument/2006/relationships/settings" Target="settings.xml"/><Relationship Id="rId9" Type="http://schemas.openxmlformats.org/officeDocument/2006/relationships/hyperlink" Target="mailto:ProcurementRADP_East@dai.com" TargetMode="External"/><Relationship Id="rId14" Type="http://schemas.openxmlformats.org/officeDocument/2006/relationships/image" Target="media/image2.jpeg"/><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www.un.org/Docs/sc/committees/1267/1267ListEng.htm" TargetMode="External"/><Relationship Id="rId30" Type="http://schemas.openxmlformats.org/officeDocument/2006/relationships/hyperlink" Target="http://www.treas.gov/offices/enforcement/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B3F7-ACE7-40AF-ACE7-DCE08D1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7408</Words>
  <Characters>42229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49538</CharactersWithSpaces>
  <SharedDoc>false</SharedDoc>
  <HLinks>
    <vt:vector size="120" baseType="variant">
      <vt:variant>
        <vt:i4>4522091</vt:i4>
      </vt:variant>
      <vt:variant>
        <vt:i4>60</vt:i4>
      </vt:variant>
      <vt:variant>
        <vt:i4>0</vt:i4>
      </vt:variant>
      <vt:variant>
        <vt:i4>5</vt:i4>
      </vt:variant>
      <vt:variant>
        <vt:lpwstr>mailto:ProcurementRADP_East_Inbox@dai.com</vt:lpwstr>
      </vt:variant>
      <vt:variant>
        <vt:lpwstr/>
      </vt:variant>
      <vt:variant>
        <vt:i4>4849728</vt:i4>
      </vt:variant>
      <vt:variant>
        <vt:i4>54</vt:i4>
      </vt:variant>
      <vt:variant>
        <vt:i4>0</vt:i4>
      </vt:variant>
      <vt:variant>
        <vt:i4>5</vt:i4>
      </vt:variant>
      <vt:variant>
        <vt:lpwstr>http://www.treas.gov/offices/enforcement/ofac</vt:lpwstr>
      </vt:variant>
      <vt:variant>
        <vt:lpwstr/>
      </vt:variant>
      <vt:variant>
        <vt:i4>65616</vt:i4>
      </vt:variant>
      <vt:variant>
        <vt:i4>51</vt:i4>
      </vt:variant>
      <vt:variant>
        <vt:i4>0</vt:i4>
      </vt:variant>
      <vt:variant>
        <vt:i4>5</vt:i4>
      </vt:variant>
      <vt:variant>
        <vt:lpwstr>http://www.treas.gov/offices/enforcement/ofac/sdn</vt:lpwstr>
      </vt:variant>
      <vt:variant>
        <vt:lpwstr/>
      </vt:variant>
      <vt:variant>
        <vt:i4>1310806</vt:i4>
      </vt:variant>
      <vt:variant>
        <vt:i4>48</vt:i4>
      </vt:variant>
      <vt:variant>
        <vt:i4>0</vt:i4>
      </vt:variant>
      <vt:variant>
        <vt:i4>5</vt:i4>
      </vt:variant>
      <vt:variant>
        <vt:lpwstr>http://untreaty.un.org/English /Terrorism.asp</vt:lpwstr>
      </vt:variant>
      <vt:variant>
        <vt:lpwstr/>
      </vt:variant>
      <vt:variant>
        <vt:i4>589907</vt:i4>
      </vt:variant>
      <vt:variant>
        <vt:i4>45</vt:i4>
      </vt:variant>
      <vt:variant>
        <vt:i4>0</vt:i4>
      </vt:variant>
      <vt:variant>
        <vt:i4>5</vt:i4>
      </vt:variant>
      <vt:variant>
        <vt:lpwstr>http://www.un.org/Docs/sc/committees/1267/1267ListEng.htm</vt:lpwstr>
      </vt:variant>
      <vt:variant>
        <vt:lpwstr/>
      </vt:variant>
      <vt:variant>
        <vt:i4>6946868</vt:i4>
      </vt:variant>
      <vt:variant>
        <vt:i4>42</vt:i4>
      </vt:variant>
      <vt:variant>
        <vt:i4>0</vt:i4>
      </vt:variant>
      <vt:variant>
        <vt:i4>5</vt:i4>
      </vt:variant>
      <vt:variant>
        <vt:lpwstr>http://www.treas.gov/offices/eotffc/ofac/sdn/t11sdn.pdf</vt:lpwstr>
      </vt:variant>
      <vt:variant>
        <vt:lpwstr/>
      </vt:variant>
      <vt:variant>
        <vt:i4>2293880</vt:i4>
      </vt:variant>
      <vt:variant>
        <vt:i4>39</vt:i4>
      </vt:variant>
      <vt:variant>
        <vt:i4>0</vt:i4>
      </vt:variant>
      <vt:variant>
        <vt:i4>5</vt:i4>
      </vt:variant>
      <vt:variant>
        <vt:lpwstr>http://www.state.gov/j/tip/</vt:lpwstr>
      </vt:variant>
      <vt:variant>
        <vt:lpwstr/>
      </vt:variant>
      <vt:variant>
        <vt:i4>2293880</vt:i4>
      </vt:variant>
      <vt:variant>
        <vt:i4>36</vt:i4>
      </vt:variant>
      <vt:variant>
        <vt:i4>0</vt:i4>
      </vt:variant>
      <vt:variant>
        <vt:i4>5</vt:i4>
      </vt:variant>
      <vt:variant>
        <vt:lpwstr>http://www.state.gov/j/tip/</vt:lpwstr>
      </vt:variant>
      <vt:variant>
        <vt:lpwstr/>
      </vt:variant>
      <vt:variant>
        <vt:i4>327705</vt:i4>
      </vt:variant>
      <vt:variant>
        <vt:i4>33</vt:i4>
      </vt:variant>
      <vt:variant>
        <vt:i4>0</vt:i4>
      </vt:variant>
      <vt:variant>
        <vt:i4>5</vt:i4>
      </vt:variant>
      <vt:variant>
        <vt:lpwstr>http://uscode.house.gov/</vt:lpwstr>
      </vt:variant>
      <vt:variant>
        <vt:lpwstr/>
      </vt:variant>
      <vt:variant>
        <vt:i4>4456460</vt:i4>
      </vt:variant>
      <vt:variant>
        <vt:i4>30</vt:i4>
      </vt:variant>
      <vt:variant>
        <vt:i4>0</vt:i4>
      </vt:variant>
      <vt:variant>
        <vt:i4>5</vt:i4>
      </vt:variant>
      <vt:variant>
        <vt:lpwstr>https://www.acquisition.gov/sites/default/files/current/far/html/52_200_206.html</vt:lpwstr>
      </vt:variant>
      <vt:variant>
        <vt:lpwstr>wp1141983</vt:lpwstr>
      </vt:variant>
      <vt:variant>
        <vt:i4>327705</vt:i4>
      </vt:variant>
      <vt:variant>
        <vt:i4>27</vt:i4>
      </vt:variant>
      <vt:variant>
        <vt:i4>0</vt:i4>
      </vt:variant>
      <vt:variant>
        <vt:i4>5</vt:i4>
      </vt:variant>
      <vt:variant>
        <vt:lpwstr>http://uscode.house.gov/</vt:lpwstr>
      </vt:variant>
      <vt:variant>
        <vt:lpwstr/>
      </vt:variant>
      <vt:variant>
        <vt:i4>327705</vt:i4>
      </vt:variant>
      <vt:variant>
        <vt:i4>24</vt:i4>
      </vt:variant>
      <vt:variant>
        <vt:i4>0</vt:i4>
      </vt:variant>
      <vt:variant>
        <vt:i4>5</vt:i4>
      </vt:variant>
      <vt:variant>
        <vt:lpwstr>http://uscode.house.gov/</vt:lpwstr>
      </vt:variant>
      <vt:variant>
        <vt:lpwstr/>
      </vt:variant>
      <vt:variant>
        <vt:i4>327705</vt:i4>
      </vt:variant>
      <vt:variant>
        <vt:i4>21</vt:i4>
      </vt:variant>
      <vt:variant>
        <vt:i4>0</vt:i4>
      </vt:variant>
      <vt:variant>
        <vt:i4>5</vt:i4>
      </vt:variant>
      <vt:variant>
        <vt:lpwstr>http://uscode.house.gov/</vt:lpwstr>
      </vt:variant>
      <vt:variant>
        <vt:lpwstr/>
      </vt:variant>
      <vt:variant>
        <vt:i4>4784227</vt:i4>
      </vt:variant>
      <vt:variant>
        <vt:i4>18</vt:i4>
      </vt:variant>
      <vt:variant>
        <vt:i4>0</vt:i4>
      </vt:variant>
      <vt:variant>
        <vt:i4>5</vt:i4>
      </vt:variant>
      <vt:variant>
        <vt:lpwstr>https://www.acquisition.gov/sites/default/files/current/far/html/Subpart 2_1.html</vt:lpwstr>
      </vt:variant>
      <vt:variant>
        <vt:lpwstr>wp1145508</vt:lpwstr>
      </vt:variant>
      <vt:variant>
        <vt:i4>2359408</vt:i4>
      </vt:variant>
      <vt:variant>
        <vt:i4>15</vt:i4>
      </vt:variant>
      <vt:variant>
        <vt:i4>0</vt:i4>
      </vt:variant>
      <vt:variant>
        <vt:i4>5</vt:i4>
      </vt:variant>
      <vt:variant>
        <vt:lpwstr>http://www.sam.gov/</vt:lpwstr>
      </vt:variant>
      <vt:variant>
        <vt:lpwstr/>
      </vt:variant>
      <vt:variant>
        <vt:i4>6684770</vt:i4>
      </vt:variant>
      <vt:variant>
        <vt:i4>12</vt:i4>
      </vt:variant>
      <vt:variant>
        <vt:i4>0</vt:i4>
      </vt:variant>
      <vt:variant>
        <vt:i4>5</vt:i4>
      </vt:variant>
      <vt:variant>
        <vt:lpwstr>http://www.usaid.gov/policy/ads/300/310mab.pdf</vt:lpwstr>
      </vt:variant>
      <vt:variant>
        <vt:lpwstr/>
      </vt:variant>
      <vt:variant>
        <vt:i4>6619234</vt:i4>
      </vt:variant>
      <vt:variant>
        <vt:i4>9</vt:i4>
      </vt:variant>
      <vt:variant>
        <vt:i4>0</vt:i4>
      </vt:variant>
      <vt:variant>
        <vt:i4>5</vt:i4>
      </vt:variant>
      <vt:variant>
        <vt:lpwstr>http://www.usaid.gov/policy/ads/300/310maa.pdf</vt:lpwstr>
      </vt:variant>
      <vt:variant>
        <vt:lpwstr/>
      </vt:variant>
      <vt:variant>
        <vt:i4>4522091</vt:i4>
      </vt:variant>
      <vt:variant>
        <vt:i4>6</vt:i4>
      </vt:variant>
      <vt:variant>
        <vt:i4>0</vt:i4>
      </vt:variant>
      <vt:variant>
        <vt:i4>5</vt:i4>
      </vt:variant>
      <vt:variant>
        <vt:lpwstr>mailto:ProcurementRADP_East_Inbox@dai.com</vt:lpwstr>
      </vt:variant>
      <vt:variant>
        <vt:lpwstr/>
      </vt:variant>
      <vt:variant>
        <vt:i4>1769496</vt:i4>
      </vt:variant>
      <vt:variant>
        <vt:i4>3</vt:i4>
      </vt:variant>
      <vt:variant>
        <vt:i4>0</vt:i4>
      </vt:variant>
      <vt:variant>
        <vt:i4>5</vt:i4>
      </vt:variant>
      <vt:variant>
        <vt:lpwstr>mailto:ProcurementRADP_East@dai.com</vt:lpwstr>
      </vt:variant>
      <vt:variant>
        <vt:lpwstr/>
      </vt:variant>
      <vt:variant>
        <vt:i4>4522091</vt:i4>
      </vt:variant>
      <vt:variant>
        <vt:i4>0</vt:i4>
      </vt:variant>
      <vt:variant>
        <vt:i4>0</vt:i4>
      </vt:variant>
      <vt:variant>
        <vt:i4>5</vt:i4>
      </vt:variant>
      <vt:variant>
        <vt:lpwstr>mailto:ProcurementRADP_East_Inbox@dai.com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Hayatullah Safi</cp:lastModifiedBy>
  <cp:revision>3</cp:revision>
  <cp:lastPrinted>2018-01-24T10:06:00Z</cp:lastPrinted>
  <dcterms:created xsi:type="dcterms:W3CDTF">2020-10-14T04:38:00Z</dcterms:created>
  <dcterms:modified xsi:type="dcterms:W3CDTF">2020-10-14T07:22:00Z</dcterms:modified>
</cp:coreProperties>
</file>