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B356E" w14:textId="77777777" w:rsidR="009D3AA4" w:rsidRPr="0031134E" w:rsidRDefault="009D3AA4" w:rsidP="00E23FFE">
      <w:pPr>
        <w:pStyle w:val="Title"/>
        <w:jc w:val="lowKashida"/>
        <w:rPr>
          <w:rFonts w:asciiTheme="minorHAnsi" w:hAnsiTheme="minorHAnsi" w:cstheme="minorHAnsi"/>
          <w:b/>
          <w:sz w:val="32"/>
          <w:lang w:val="en-US"/>
        </w:rPr>
      </w:pPr>
      <w:r w:rsidRPr="0031134E">
        <w:rPr>
          <w:rFonts w:asciiTheme="minorHAnsi" w:hAnsiTheme="minorHAnsi" w:cstheme="minorHAnsi"/>
          <w:b/>
          <w:sz w:val="32"/>
          <w:lang w:val="en-US"/>
        </w:rPr>
        <w:t>AMPLIFY CHANGE: SUPPORTING WOMEN’S RIGHTS IN AFGHANISTAN</w:t>
      </w:r>
    </w:p>
    <w:p w14:paraId="710D9B71" w14:textId="77777777" w:rsidR="009D3AA4" w:rsidRDefault="009D3AA4" w:rsidP="00E23FFE">
      <w:pPr>
        <w:pStyle w:val="Subtitle"/>
        <w:spacing w:after="0"/>
        <w:jc w:val="lowKashida"/>
        <w:rPr>
          <w:rFonts w:cstheme="minorHAnsi"/>
          <w:b/>
          <w:sz w:val="24"/>
          <w:lang w:val="en-US"/>
        </w:rPr>
      </w:pPr>
      <w:r w:rsidRPr="00521783">
        <w:rPr>
          <w:rFonts w:cstheme="minorHAnsi"/>
          <w:b/>
          <w:sz w:val="24"/>
          <w:lang w:val="en-US"/>
        </w:rPr>
        <w:t>Oxfam in Afghanistan</w:t>
      </w:r>
    </w:p>
    <w:p w14:paraId="32114021" w14:textId="77777777" w:rsidR="009D3AA4" w:rsidRDefault="009D3AA4" w:rsidP="00E23FFE">
      <w:pPr>
        <w:jc w:val="lowKashida"/>
        <w:rPr>
          <w:lang w:val="en-US"/>
        </w:rPr>
      </w:pPr>
    </w:p>
    <w:p w14:paraId="5CB3C22D" w14:textId="08CB7B6C" w:rsidR="009D3AA4" w:rsidRDefault="009D3AA4" w:rsidP="00E23FFE">
      <w:pPr>
        <w:pStyle w:val="Heading1"/>
        <w:pBdr>
          <w:bottom w:val="single" w:sz="12" w:space="1" w:color="auto"/>
        </w:pBdr>
        <w:spacing w:before="0"/>
        <w:jc w:val="lowKashida"/>
        <w:rPr>
          <w:b/>
          <w:lang w:val="en-US"/>
        </w:rPr>
      </w:pPr>
      <w:r>
        <w:rPr>
          <w:b/>
          <w:lang w:val="en-US"/>
        </w:rPr>
        <w:t>Terms of Reference</w:t>
      </w:r>
      <w:r w:rsidRPr="0031134E">
        <w:rPr>
          <w:b/>
          <w:lang w:val="en-US"/>
        </w:rPr>
        <w:t xml:space="preserve"> </w:t>
      </w:r>
      <w:r>
        <w:rPr>
          <w:b/>
          <w:lang w:val="en-US"/>
        </w:rPr>
        <w:t>–</w:t>
      </w:r>
      <w:r w:rsidR="00297B3C">
        <w:rPr>
          <w:b/>
          <w:lang w:val="en-US"/>
        </w:rPr>
        <w:t xml:space="preserve"> National Consultant (Data analysis and reporting) </w:t>
      </w:r>
    </w:p>
    <w:p w14:paraId="772D0FF0" w14:textId="77777777" w:rsidR="009D3AA4" w:rsidRPr="0031134E" w:rsidRDefault="009D3AA4" w:rsidP="00E23FFE">
      <w:pPr>
        <w:autoSpaceDE w:val="0"/>
        <w:autoSpaceDN w:val="0"/>
        <w:adjustRightInd w:val="0"/>
        <w:jc w:val="lowKashida"/>
        <w:rPr>
          <w:rFonts w:asciiTheme="minorHAnsi" w:hAnsiTheme="minorHAnsi" w:cstheme="minorHAnsi"/>
          <w:b/>
          <w:bCs/>
          <w:color w:val="000000"/>
          <w:lang w:val="en-US"/>
        </w:rPr>
      </w:pPr>
    </w:p>
    <w:p w14:paraId="58E30618" w14:textId="77777777" w:rsidR="0030420B" w:rsidRPr="00EE5ABC" w:rsidRDefault="0030420B" w:rsidP="0030420B">
      <w:pPr>
        <w:rPr>
          <w:b/>
          <w:bCs/>
          <w:u w:val="single"/>
          <w:lang w:val="en-US"/>
        </w:rPr>
      </w:pPr>
      <w:r w:rsidRPr="00EE5ABC">
        <w:rPr>
          <w:b/>
          <w:bCs/>
          <w:u w:val="single"/>
          <w:lang w:val="en-US"/>
        </w:rPr>
        <w:t xml:space="preserve">Who we are </w:t>
      </w:r>
    </w:p>
    <w:p w14:paraId="186DAEDF" w14:textId="77777777" w:rsidR="0030420B" w:rsidRPr="00F41923" w:rsidRDefault="0030420B" w:rsidP="0030420B">
      <w:pPr>
        <w:jc w:val="lowKashida"/>
        <w:rPr>
          <w:rFonts w:ascii="Calibri" w:hAnsi="Calibri" w:cs="Calibri"/>
          <w:color w:val="000000" w:themeColor="text1"/>
          <w:sz w:val="22"/>
          <w:lang w:val="en-US"/>
        </w:rPr>
      </w:pPr>
      <w:r w:rsidRPr="00F41923">
        <w:rPr>
          <w:rFonts w:ascii="Calibri" w:hAnsi="Calibri" w:cs="Calibri"/>
          <w:color w:val="000000" w:themeColor="text1"/>
          <w:sz w:val="22"/>
          <w:lang w:val="en-US"/>
        </w:rPr>
        <w:t>Oxfam is a rights-based organization operating in over 90 countries globally whose Mission is “To achieve a just world without poverty.” Oxfam International is a platform bringing together 20 affiliates. As Oxfam, we determine to change the world by mobilizing the power of people against poverty and thus working together internationally to find lasting solutions to poverty and injustice. We share a common vision, common philosophies and, to a large extent, common working practices. In all we do, Oxfam works with partner organizations and alongside vulnerable women and men to end the injustices that cause poverty.</w:t>
      </w:r>
    </w:p>
    <w:p w14:paraId="42DA66EC" w14:textId="77777777" w:rsidR="0030420B" w:rsidRPr="00F41923" w:rsidRDefault="0030420B" w:rsidP="0030420B">
      <w:pPr>
        <w:jc w:val="lowKashida"/>
        <w:rPr>
          <w:rFonts w:ascii="Calibri" w:hAnsi="Calibri" w:cs="Calibri"/>
          <w:color w:val="000000" w:themeColor="text1"/>
          <w:sz w:val="22"/>
          <w:lang w:val="en-US"/>
        </w:rPr>
      </w:pPr>
    </w:p>
    <w:p w14:paraId="4FAB3144" w14:textId="77777777" w:rsidR="0030420B" w:rsidRPr="00F41923" w:rsidRDefault="0030420B" w:rsidP="0030420B">
      <w:pPr>
        <w:jc w:val="lowKashida"/>
        <w:rPr>
          <w:rFonts w:ascii="Calibri" w:hAnsi="Calibri" w:cs="Calibri"/>
          <w:color w:val="000000" w:themeColor="text1"/>
          <w:sz w:val="22"/>
          <w:lang w:val="en-US"/>
        </w:rPr>
      </w:pPr>
      <w:r w:rsidRPr="00F41923">
        <w:rPr>
          <w:rFonts w:ascii="Calibri" w:hAnsi="Calibri" w:cs="Calibri"/>
          <w:color w:val="000000" w:themeColor="text1"/>
          <w:sz w:val="22"/>
          <w:lang w:val="en-US"/>
        </w:rPr>
        <w:t>Oxfam has a long history in Afghanistan, working in the country for over 50 years and supporting the Afghanistan people through its rural and urban development and sustainable livelihood programs with a focus on transforming gender and power relations, as well as delivering humanitarian assistance to people affected by natural disasters and conflict. Oxfam works closely with local partners to support citizens and civil society, particularly women and youth, to engage in governance and political processes to ensure the Government of Afghanistan responds to the needs of all Afghans.</w:t>
      </w:r>
    </w:p>
    <w:p w14:paraId="758DED1E" w14:textId="77777777" w:rsidR="0030420B" w:rsidRPr="00F41923" w:rsidRDefault="0030420B" w:rsidP="0030420B">
      <w:pPr>
        <w:pStyle w:val="Heading1"/>
        <w:spacing w:before="0"/>
        <w:jc w:val="lowKashida"/>
        <w:rPr>
          <w:b/>
          <w:sz w:val="28"/>
          <w:lang w:val="en-US"/>
        </w:rPr>
      </w:pPr>
    </w:p>
    <w:p w14:paraId="60CE9BEC" w14:textId="77777777" w:rsidR="0030420B" w:rsidRPr="0031134E" w:rsidRDefault="0030420B" w:rsidP="0030420B">
      <w:pPr>
        <w:pStyle w:val="Heading1"/>
        <w:spacing w:before="0"/>
        <w:jc w:val="lowKashida"/>
        <w:rPr>
          <w:b/>
        </w:rPr>
      </w:pPr>
      <w:r>
        <w:rPr>
          <w:b/>
        </w:rPr>
        <w:t xml:space="preserve">PROJECT </w:t>
      </w:r>
      <w:r w:rsidRPr="0031134E">
        <w:rPr>
          <w:b/>
        </w:rPr>
        <w:t>BACKGROUND</w:t>
      </w:r>
    </w:p>
    <w:p w14:paraId="714088AB" w14:textId="14ED56A0" w:rsidR="0030420B" w:rsidRPr="00373FC7" w:rsidRDefault="0030420B" w:rsidP="0030420B">
      <w:pPr>
        <w:jc w:val="lowKashida"/>
        <w:rPr>
          <w:rFonts w:asciiTheme="minorHAnsi" w:hAnsiTheme="minorHAnsi" w:cstheme="minorHAnsi"/>
          <w:sz w:val="22"/>
          <w:szCs w:val="22"/>
        </w:rPr>
      </w:pPr>
      <w:r w:rsidRPr="0031134E">
        <w:rPr>
          <w:rFonts w:asciiTheme="minorHAnsi" w:hAnsiTheme="minorHAnsi" w:cstheme="minorHAnsi"/>
          <w:sz w:val="22"/>
          <w:szCs w:val="22"/>
        </w:rPr>
        <w:t xml:space="preserve">Amplify Change </w:t>
      </w:r>
      <w:r>
        <w:rPr>
          <w:rFonts w:asciiTheme="minorHAnsi" w:hAnsiTheme="minorHAnsi" w:cstheme="minorHAnsi"/>
          <w:sz w:val="22"/>
          <w:szCs w:val="22"/>
        </w:rPr>
        <w:t xml:space="preserve">(AC) </w:t>
      </w:r>
      <w:r w:rsidRPr="0031134E">
        <w:rPr>
          <w:rFonts w:asciiTheme="minorHAnsi" w:hAnsiTheme="minorHAnsi" w:cstheme="minorHAnsi"/>
          <w:sz w:val="22"/>
          <w:szCs w:val="22"/>
        </w:rPr>
        <w:t>– Supporting Women’s Rights in Afghanistan is a five year (2017-202</w:t>
      </w:r>
      <w:r w:rsidR="00FF76B1">
        <w:rPr>
          <w:rFonts w:asciiTheme="minorHAnsi" w:hAnsiTheme="minorHAnsi" w:cstheme="minorHAnsi"/>
          <w:sz w:val="22"/>
          <w:szCs w:val="22"/>
        </w:rPr>
        <w:t>2</w:t>
      </w:r>
      <w:r w:rsidRPr="0031134E">
        <w:rPr>
          <w:rFonts w:asciiTheme="minorHAnsi" w:hAnsiTheme="minorHAnsi" w:cstheme="minorHAnsi"/>
          <w:sz w:val="22"/>
          <w:szCs w:val="22"/>
        </w:rPr>
        <w:t xml:space="preserve">), </w:t>
      </w:r>
      <w:r>
        <w:rPr>
          <w:rFonts w:asciiTheme="minorHAnsi" w:hAnsiTheme="minorHAnsi" w:cstheme="minorHAnsi"/>
          <w:sz w:val="22"/>
          <w:szCs w:val="22"/>
        </w:rPr>
        <w:t xml:space="preserve">4.81 </w:t>
      </w:r>
      <w:r w:rsidRPr="0031134E">
        <w:rPr>
          <w:rFonts w:asciiTheme="minorHAnsi" w:hAnsiTheme="minorHAnsi" w:cstheme="minorHAnsi"/>
          <w:sz w:val="22"/>
          <w:szCs w:val="22"/>
        </w:rPr>
        <w:t xml:space="preserve"> million </w:t>
      </w:r>
      <w:r>
        <w:rPr>
          <w:rFonts w:asciiTheme="minorHAnsi" w:hAnsiTheme="minorHAnsi" w:cstheme="minorHAnsi"/>
          <w:sz w:val="22"/>
          <w:szCs w:val="22"/>
        </w:rPr>
        <w:t xml:space="preserve">CAD </w:t>
      </w:r>
      <w:r w:rsidRPr="0031134E">
        <w:rPr>
          <w:rFonts w:asciiTheme="minorHAnsi" w:hAnsiTheme="minorHAnsi" w:cstheme="minorHAnsi"/>
          <w:sz w:val="22"/>
          <w:szCs w:val="22"/>
        </w:rPr>
        <w:t>project funded by Global Affairs Canada (GAC) and is being implemented in t</w:t>
      </w:r>
      <w:r>
        <w:rPr>
          <w:rFonts w:asciiTheme="minorHAnsi" w:hAnsiTheme="minorHAnsi" w:cstheme="minorHAnsi"/>
          <w:sz w:val="22"/>
          <w:szCs w:val="22"/>
        </w:rPr>
        <w:t xml:space="preserve">wo </w:t>
      </w:r>
      <w:r w:rsidRPr="0031134E">
        <w:rPr>
          <w:rFonts w:asciiTheme="minorHAnsi" w:hAnsiTheme="minorHAnsi" w:cstheme="minorHAnsi"/>
          <w:sz w:val="22"/>
          <w:szCs w:val="22"/>
        </w:rPr>
        <w:t>provinces of Afghanistan</w:t>
      </w:r>
      <w:r>
        <w:rPr>
          <w:rFonts w:asciiTheme="minorHAnsi" w:hAnsiTheme="minorHAnsi" w:cstheme="minorHAnsi"/>
          <w:sz w:val="22"/>
          <w:szCs w:val="22"/>
        </w:rPr>
        <w:t xml:space="preserve">, </w:t>
      </w:r>
      <w:r w:rsidRPr="0031134E">
        <w:rPr>
          <w:rFonts w:asciiTheme="minorHAnsi" w:hAnsiTheme="minorHAnsi" w:cstheme="minorHAnsi"/>
          <w:sz w:val="22"/>
          <w:szCs w:val="22"/>
        </w:rPr>
        <w:t>Herat</w:t>
      </w:r>
      <w:r>
        <w:rPr>
          <w:rFonts w:asciiTheme="minorHAnsi" w:hAnsiTheme="minorHAnsi" w:cstheme="minorHAnsi"/>
          <w:sz w:val="22"/>
          <w:szCs w:val="22"/>
        </w:rPr>
        <w:t xml:space="preserve"> and</w:t>
      </w:r>
      <w:r w:rsidRPr="0031134E">
        <w:rPr>
          <w:rFonts w:asciiTheme="minorHAnsi" w:hAnsiTheme="minorHAnsi" w:cstheme="minorHAnsi"/>
          <w:sz w:val="22"/>
          <w:szCs w:val="22"/>
        </w:rPr>
        <w:t xml:space="preserve"> Balkh</w:t>
      </w:r>
      <w:r>
        <w:rPr>
          <w:rFonts w:asciiTheme="minorHAnsi" w:hAnsiTheme="minorHAnsi" w:cstheme="minorHAnsi"/>
          <w:sz w:val="22"/>
          <w:szCs w:val="22"/>
        </w:rPr>
        <w:t>.</w:t>
      </w:r>
      <w:r w:rsidRPr="0031134E">
        <w:rPr>
          <w:rFonts w:asciiTheme="minorHAnsi" w:hAnsiTheme="minorHAnsi" w:cstheme="minorHAnsi"/>
          <w:sz w:val="22"/>
          <w:szCs w:val="22"/>
        </w:rPr>
        <w:t xml:space="preserve"> The project aims to support Afghan women and girls to participate more effectively in decision-making about their society by empowering them to access and use their legal rights, and creating an enabling environment that facilitates their participation. </w:t>
      </w:r>
    </w:p>
    <w:p w14:paraId="53C80374" w14:textId="77777777" w:rsidR="0030420B" w:rsidRPr="0031134E" w:rsidRDefault="0030420B" w:rsidP="0030420B">
      <w:pPr>
        <w:jc w:val="lowKashida"/>
        <w:rPr>
          <w:rFonts w:asciiTheme="minorHAnsi" w:hAnsiTheme="minorHAnsi" w:cstheme="minorHAnsi"/>
          <w:sz w:val="22"/>
          <w:szCs w:val="22"/>
        </w:rPr>
      </w:pPr>
    </w:p>
    <w:p w14:paraId="3B395261" w14:textId="77777777" w:rsidR="0030420B" w:rsidRPr="0031134E" w:rsidRDefault="0030420B" w:rsidP="0030420B">
      <w:pPr>
        <w:jc w:val="lowKashida"/>
        <w:rPr>
          <w:rFonts w:asciiTheme="minorHAnsi" w:hAnsiTheme="minorHAnsi" w:cstheme="minorHAnsi"/>
          <w:sz w:val="22"/>
          <w:szCs w:val="22"/>
        </w:rPr>
      </w:pPr>
      <w:r w:rsidRPr="0031134E">
        <w:rPr>
          <w:rFonts w:asciiTheme="minorHAnsi" w:hAnsiTheme="minorHAnsi" w:cstheme="minorHAnsi"/>
          <w:sz w:val="22"/>
          <w:szCs w:val="22"/>
        </w:rPr>
        <w:t xml:space="preserve">The overall project framework revolves around two key pillars that work together to contribute to the changes the project seeks to achieve. </w:t>
      </w:r>
    </w:p>
    <w:p w14:paraId="3B95CF00" w14:textId="77777777" w:rsidR="0014271B" w:rsidRPr="0014271B" w:rsidRDefault="0014271B" w:rsidP="0014271B">
      <w:pPr>
        <w:pStyle w:val="CommentText"/>
        <w:numPr>
          <w:ilvl w:val="0"/>
          <w:numId w:val="1"/>
        </w:numPr>
      </w:pPr>
      <w:r w:rsidRPr="0014271B">
        <w:rPr>
          <w:sz w:val="22"/>
          <w:szCs w:val="22"/>
        </w:rPr>
        <w:t xml:space="preserve">Pillar One engages influencers within the project communities to support women’s rights to be free of violence, while empowering women and girls to recognize, exercise, and defend those rights.  </w:t>
      </w:r>
    </w:p>
    <w:p w14:paraId="062BB3D4" w14:textId="77777777" w:rsidR="0030420B" w:rsidRDefault="0030420B" w:rsidP="0030420B">
      <w:pPr>
        <w:pStyle w:val="ListParagraph"/>
        <w:numPr>
          <w:ilvl w:val="0"/>
          <w:numId w:val="1"/>
        </w:numPr>
        <w:contextualSpacing/>
        <w:jc w:val="lowKashida"/>
        <w:rPr>
          <w:rFonts w:asciiTheme="minorHAnsi" w:hAnsiTheme="minorHAnsi" w:cstheme="minorHAnsi"/>
        </w:rPr>
      </w:pPr>
      <w:r w:rsidRPr="0031134E">
        <w:rPr>
          <w:rFonts w:asciiTheme="minorHAnsi" w:hAnsiTheme="minorHAnsi" w:cstheme="minorHAnsi"/>
        </w:rPr>
        <w:t>Pillar Two builds the knowledge and capacity of Afghan CSOs and CSO networks to coordinate and promote the rights and empowerment of women and girls.</w:t>
      </w:r>
    </w:p>
    <w:p w14:paraId="559E70E1" w14:textId="77777777" w:rsidR="0030420B" w:rsidRDefault="0030420B" w:rsidP="0030420B">
      <w:pPr>
        <w:jc w:val="lowKashida"/>
        <w:rPr>
          <w:rFonts w:asciiTheme="minorHAnsi" w:hAnsiTheme="minorHAnsi" w:cstheme="minorHAnsi"/>
          <w:bCs/>
          <w:sz w:val="22"/>
          <w:szCs w:val="22"/>
        </w:rPr>
      </w:pPr>
    </w:p>
    <w:p w14:paraId="6E0FB229" w14:textId="77777777" w:rsidR="00627588" w:rsidRDefault="00627588" w:rsidP="00627588">
      <w:pPr>
        <w:pStyle w:val="ListParagraph"/>
        <w:contextualSpacing/>
        <w:jc w:val="lowKashida"/>
        <w:rPr>
          <w:rFonts w:asciiTheme="minorHAnsi" w:hAnsiTheme="minorHAnsi" w:cstheme="minorHAnsi"/>
        </w:rPr>
      </w:pPr>
    </w:p>
    <w:p w14:paraId="5AAA8114" w14:textId="5F1AC8AE" w:rsidR="00C1162C" w:rsidRPr="008C59E0" w:rsidRDefault="00627588" w:rsidP="00C1162C">
      <w:pPr>
        <w:contextualSpacing/>
        <w:jc w:val="lowKashida"/>
        <w:rPr>
          <w:rFonts w:asciiTheme="minorHAnsi" w:hAnsiTheme="minorHAnsi" w:cstheme="minorHAnsi"/>
          <w:b/>
          <w:bCs/>
          <w:sz w:val="22"/>
          <w:szCs w:val="22"/>
        </w:rPr>
      </w:pPr>
      <w:r w:rsidRPr="008C59E0">
        <w:rPr>
          <w:rFonts w:asciiTheme="minorHAnsi" w:hAnsiTheme="minorHAnsi" w:cstheme="minorHAnsi"/>
          <w:b/>
          <w:bCs/>
          <w:sz w:val="22"/>
          <w:szCs w:val="22"/>
        </w:rPr>
        <w:t xml:space="preserve">Oxfam in Afghanistan is seeking an experienced and qualified consultant (individual /firm) to undertake </w:t>
      </w:r>
      <w:r w:rsidR="0014271B">
        <w:rPr>
          <w:rFonts w:asciiTheme="minorHAnsi" w:hAnsiTheme="minorHAnsi" w:cstheme="minorHAnsi"/>
          <w:b/>
          <w:bCs/>
          <w:sz w:val="22"/>
          <w:szCs w:val="22"/>
        </w:rPr>
        <w:t xml:space="preserve">an </w:t>
      </w:r>
      <w:r w:rsidR="00FF76B1">
        <w:rPr>
          <w:rFonts w:asciiTheme="minorHAnsi" w:hAnsiTheme="minorHAnsi" w:cstheme="minorHAnsi"/>
          <w:b/>
          <w:bCs/>
          <w:sz w:val="22"/>
          <w:szCs w:val="22"/>
        </w:rPr>
        <w:t>a</w:t>
      </w:r>
      <w:r w:rsidRPr="008C59E0">
        <w:rPr>
          <w:rFonts w:asciiTheme="minorHAnsi" w:hAnsiTheme="minorHAnsi" w:cstheme="minorHAnsi"/>
          <w:b/>
          <w:bCs/>
          <w:sz w:val="22"/>
          <w:szCs w:val="22"/>
        </w:rPr>
        <w:t>nalysis of collected dat</w:t>
      </w:r>
      <w:r w:rsidR="009A52B8">
        <w:rPr>
          <w:rFonts w:asciiTheme="minorHAnsi" w:hAnsiTheme="minorHAnsi" w:cstheme="minorHAnsi"/>
          <w:b/>
          <w:bCs/>
          <w:sz w:val="22"/>
          <w:szCs w:val="22"/>
        </w:rPr>
        <w:t>a</w:t>
      </w:r>
      <w:r w:rsidR="00247E67" w:rsidRPr="008C59E0">
        <w:rPr>
          <w:rFonts w:asciiTheme="minorHAnsi" w:hAnsiTheme="minorHAnsi" w:cstheme="minorHAnsi"/>
          <w:b/>
          <w:bCs/>
          <w:sz w:val="22"/>
          <w:szCs w:val="22"/>
        </w:rPr>
        <w:t xml:space="preserve"> and report on project progress </w:t>
      </w:r>
      <w:r w:rsidR="009A52B8">
        <w:rPr>
          <w:rFonts w:asciiTheme="minorHAnsi" w:hAnsiTheme="minorHAnsi" w:cstheme="minorHAnsi"/>
          <w:b/>
          <w:bCs/>
          <w:sz w:val="22"/>
          <w:szCs w:val="22"/>
        </w:rPr>
        <w:t xml:space="preserve">according to the project’s performance measurement framework. </w:t>
      </w:r>
      <w:r w:rsidR="00247E67" w:rsidRPr="008C59E0">
        <w:rPr>
          <w:rFonts w:asciiTheme="minorHAnsi" w:hAnsiTheme="minorHAnsi" w:cstheme="minorHAnsi"/>
          <w:b/>
          <w:bCs/>
          <w:sz w:val="22"/>
          <w:szCs w:val="22"/>
        </w:rPr>
        <w:t xml:space="preserve"> </w:t>
      </w:r>
    </w:p>
    <w:p w14:paraId="58AAAEC1" w14:textId="3D796169" w:rsidR="00C1162C" w:rsidRDefault="00C1162C" w:rsidP="00C1162C">
      <w:pPr>
        <w:contextualSpacing/>
        <w:jc w:val="lowKashida"/>
        <w:rPr>
          <w:rFonts w:asciiTheme="minorHAnsi" w:hAnsiTheme="minorHAnsi" w:cstheme="minorHAnsi"/>
        </w:rPr>
      </w:pPr>
    </w:p>
    <w:p w14:paraId="4F1B7BCB" w14:textId="027D9593" w:rsidR="009A52B8" w:rsidRPr="006F1462" w:rsidRDefault="00E23AB9" w:rsidP="006F1462">
      <w:pPr>
        <w:pStyle w:val="Heading1"/>
        <w:rPr>
          <w:lang w:val="en-US"/>
        </w:rPr>
      </w:pPr>
      <w:r w:rsidRPr="00E23AB9">
        <w:rPr>
          <w:lang w:val="en-US"/>
        </w:rPr>
        <w:t xml:space="preserve">Objectives </w:t>
      </w:r>
      <w:r w:rsidRPr="00247E67">
        <w:rPr>
          <w:lang w:val="en-US"/>
        </w:rPr>
        <w:t xml:space="preserve">of the Annual Data Collection </w:t>
      </w:r>
    </w:p>
    <w:p w14:paraId="297B627E" w14:textId="1842A0B2" w:rsidR="00E23AB9" w:rsidRPr="00E23AB9" w:rsidRDefault="009A52B8" w:rsidP="00E23AB9">
      <w:pPr>
        <w:widowControl w:val="0"/>
        <w:numPr>
          <w:ilvl w:val="0"/>
          <w:numId w:val="27"/>
        </w:numPr>
        <w:spacing w:after="200" w:line="276" w:lineRule="auto"/>
        <w:rPr>
          <w:rFonts w:ascii="Calibri" w:hAnsi="Calibri" w:cs="Times New Roman"/>
          <w:sz w:val="22"/>
          <w:szCs w:val="22"/>
          <w:lang w:val="en-US"/>
        </w:rPr>
      </w:pPr>
      <w:r>
        <w:rPr>
          <w:rFonts w:ascii="Calibri" w:hAnsi="Calibri" w:cs="Times New Roman"/>
          <w:sz w:val="22"/>
          <w:szCs w:val="22"/>
          <w:lang w:val="en-US"/>
        </w:rPr>
        <w:t xml:space="preserve">To analyze data collected by the Amplify Change project team to report on project progress towards the intended outcomes and indicators. </w:t>
      </w:r>
    </w:p>
    <w:p w14:paraId="7D7E4832" w14:textId="498705A3" w:rsidR="00E23AB9" w:rsidRPr="00E23AB9" w:rsidRDefault="00E23AB9" w:rsidP="00E23AB9">
      <w:pPr>
        <w:widowControl w:val="0"/>
        <w:numPr>
          <w:ilvl w:val="0"/>
          <w:numId w:val="27"/>
        </w:numPr>
        <w:spacing w:after="200" w:line="276" w:lineRule="auto"/>
        <w:rPr>
          <w:rFonts w:ascii="Calibri" w:hAnsi="Calibri" w:cs="Times New Roman"/>
          <w:sz w:val="22"/>
          <w:szCs w:val="22"/>
          <w:lang w:val="en-US"/>
        </w:rPr>
      </w:pPr>
      <w:r w:rsidRPr="00E23AB9">
        <w:rPr>
          <w:rFonts w:ascii="Calibri" w:hAnsi="Calibri" w:cs="Times New Roman"/>
          <w:sz w:val="22"/>
          <w:szCs w:val="22"/>
          <w:lang w:val="en-US"/>
        </w:rPr>
        <w:lastRenderedPageBreak/>
        <w:t>T</w:t>
      </w:r>
      <w:r w:rsidR="009A52B8">
        <w:rPr>
          <w:rFonts w:ascii="Calibri" w:hAnsi="Calibri" w:cs="Times New Roman"/>
          <w:sz w:val="22"/>
          <w:szCs w:val="22"/>
          <w:lang w:val="en-US"/>
        </w:rPr>
        <w:t xml:space="preserve">o synthesize key findings into a comprehensive report, organized according to the project’s outcome areas.  </w:t>
      </w:r>
    </w:p>
    <w:p w14:paraId="0C4DB8E1" w14:textId="4059809D" w:rsidR="0030420B" w:rsidRPr="0030420B" w:rsidRDefault="00E23AB9" w:rsidP="0030420B">
      <w:pPr>
        <w:keepNext/>
        <w:keepLines/>
        <w:widowControl w:val="0"/>
        <w:numPr>
          <w:ilvl w:val="0"/>
          <w:numId w:val="27"/>
        </w:numPr>
        <w:spacing w:after="200" w:line="276" w:lineRule="auto"/>
        <w:outlineLvl w:val="0"/>
        <w:rPr>
          <w:rFonts w:ascii="Calibri" w:hAnsi="Calibri" w:cs="Times New Roman"/>
          <w:b/>
          <w:bCs/>
          <w:sz w:val="22"/>
          <w:szCs w:val="22"/>
          <w:lang w:val="en-US"/>
        </w:rPr>
      </w:pPr>
      <w:r w:rsidRPr="009A52B8">
        <w:rPr>
          <w:rFonts w:ascii="Calibri" w:hAnsi="Calibri" w:cs="Times New Roman"/>
          <w:sz w:val="22"/>
          <w:szCs w:val="22"/>
          <w:lang w:val="en-US"/>
        </w:rPr>
        <w:t xml:space="preserve">Provide recommendations </w:t>
      </w:r>
      <w:r w:rsidR="004002C6">
        <w:rPr>
          <w:rFonts w:ascii="Calibri" w:hAnsi="Calibri" w:cs="Times New Roman"/>
          <w:sz w:val="22"/>
          <w:szCs w:val="22"/>
          <w:lang w:val="en-US"/>
        </w:rPr>
        <w:t>on</w:t>
      </w:r>
      <w:r w:rsidR="009A52B8">
        <w:rPr>
          <w:rFonts w:ascii="Calibri" w:hAnsi="Calibri" w:cs="Times New Roman"/>
          <w:sz w:val="22"/>
          <w:szCs w:val="22"/>
          <w:lang w:val="en-US"/>
        </w:rPr>
        <w:t xml:space="preserve"> possible areas for improvement to enhance positive outcomes for the project’s beneficiaries. </w:t>
      </w:r>
    </w:p>
    <w:p w14:paraId="2EDFBB9B" w14:textId="53371260" w:rsidR="0030420B" w:rsidRDefault="0030420B" w:rsidP="006F1462">
      <w:pPr>
        <w:pStyle w:val="Heading1"/>
        <w:rPr>
          <w:lang w:val="en-US"/>
        </w:rPr>
      </w:pPr>
      <w:r>
        <w:rPr>
          <w:lang w:val="en-US"/>
        </w:rPr>
        <w:t>Project Outcomes and Indicators</w:t>
      </w:r>
    </w:p>
    <w:p w14:paraId="02C8C66B" w14:textId="6B70ACAB" w:rsidR="00EB713C" w:rsidRDefault="00EB713C" w:rsidP="00EB713C">
      <w:pPr>
        <w:rPr>
          <w:lang w:val="en-US"/>
        </w:rPr>
      </w:pPr>
    </w:p>
    <w:p w14:paraId="3A719986" w14:textId="21919175" w:rsidR="0098183D" w:rsidRDefault="0098183D" w:rsidP="0098183D">
      <w:pPr>
        <w:rPr>
          <w:rFonts w:ascii="Calibri" w:hAnsi="Calibri" w:cs="Times New Roman"/>
          <w:sz w:val="22"/>
          <w:szCs w:val="22"/>
          <w:lang w:val="en-US"/>
        </w:rPr>
      </w:pPr>
      <w:r w:rsidRPr="0098183D">
        <w:rPr>
          <w:rFonts w:ascii="Calibri" w:hAnsi="Calibri" w:cs="Times New Roman"/>
          <w:sz w:val="22"/>
          <w:szCs w:val="22"/>
          <w:lang w:val="en-US"/>
        </w:rPr>
        <w:t xml:space="preserve">The ultimate </w:t>
      </w:r>
      <w:r w:rsidR="004002C6">
        <w:rPr>
          <w:rFonts w:ascii="Calibri" w:hAnsi="Calibri" w:cs="Times New Roman"/>
          <w:sz w:val="22"/>
          <w:szCs w:val="22"/>
          <w:lang w:val="en-US"/>
        </w:rPr>
        <w:t xml:space="preserve">intended </w:t>
      </w:r>
      <w:r w:rsidRPr="0098183D">
        <w:rPr>
          <w:rFonts w:ascii="Calibri" w:hAnsi="Calibri" w:cs="Times New Roman"/>
          <w:sz w:val="22"/>
          <w:szCs w:val="22"/>
          <w:lang w:val="en-US"/>
        </w:rPr>
        <w:t xml:space="preserve">outcome for the project </w:t>
      </w:r>
      <w:r w:rsidR="004002C6">
        <w:rPr>
          <w:rFonts w:ascii="Calibri" w:hAnsi="Calibri" w:cs="Times New Roman"/>
          <w:sz w:val="22"/>
          <w:szCs w:val="22"/>
          <w:lang w:val="en-US"/>
        </w:rPr>
        <w:t xml:space="preserve">is </w:t>
      </w:r>
      <w:r w:rsidRPr="0098183D">
        <w:rPr>
          <w:rFonts w:ascii="Calibri" w:hAnsi="Calibri" w:cs="Times New Roman"/>
          <w:sz w:val="22"/>
          <w:szCs w:val="22"/>
          <w:lang w:val="en-US"/>
        </w:rPr>
        <w:t>that women and girls are better empowered to participate in decision making in the Afghan society</w:t>
      </w:r>
      <w:r>
        <w:rPr>
          <w:rFonts w:ascii="Calibri" w:hAnsi="Calibri" w:cs="Times New Roman"/>
          <w:sz w:val="22"/>
          <w:szCs w:val="22"/>
          <w:lang w:val="en-US"/>
        </w:rPr>
        <w:t xml:space="preserve">. </w:t>
      </w:r>
      <w:r w:rsidR="004002C6">
        <w:rPr>
          <w:rFonts w:ascii="Calibri" w:hAnsi="Calibri" w:cs="Times New Roman"/>
          <w:sz w:val="22"/>
          <w:szCs w:val="22"/>
          <w:lang w:val="en-US"/>
        </w:rPr>
        <w:t>The project’s</w:t>
      </w:r>
      <w:r w:rsidRPr="0098183D">
        <w:rPr>
          <w:rFonts w:ascii="Calibri" w:hAnsi="Calibri" w:cs="Times New Roman"/>
          <w:sz w:val="22"/>
          <w:szCs w:val="22"/>
          <w:lang w:val="en-US"/>
        </w:rPr>
        <w:t xml:space="preserve"> intermediate and immediate </w:t>
      </w:r>
      <w:r w:rsidR="004002C6">
        <w:rPr>
          <w:rFonts w:ascii="Calibri" w:hAnsi="Calibri" w:cs="Times New Roman"/>
          <w:sz w:val="22"/>
          <w:szCs w:val="22"/>
          <w:lang w:val="en-US"/>
        </w:rPr>
        <w:t xml:space="preserve">intended </w:t>
      </w:r>
      <w:r w:rsidRPr="0098183D">
        <w:rPr>
          <w:rFonts w:ascii="Calibri" w:hAnsi="Calibri" w:cs="Times New Roman"/>
          <w:sz w:val="22"/>
          <w:szCs w:val="22"/>
          <w:lang w:val="en-US"/>
        </w:rPr>
        <w:t xml:space="preserve">outcomes, and indicators are listed in Table 1 below. </w:t>
      </w:r>
      <w:r>
        <w:rPr>
          <w:rFonts w:ascii="Calibri" w:hAnsi="Calibri" w:cs="Times New Roman"/>
          <w:sz w:val="22"/>
          <w:szCs w:val="22"/>
          <w:lang w:val="en-US"/>
        </w:rPr>
        <w:t>The annual data collection wi</w:t>
      </w:r>
      <w:r w:rsidR="00FF76B1">
        <w:rPr>
          <w:rFonts w:ascii="Calibri" w:hAnsi="Calibri" w:cs="Times New Roman"/>
          <w:sz w:val="22"/>
          <w:szCs w:val="22"/>
          <w:lang w:val="en-US"/>
        </w:rPr>
        <w:t>ll</w:t>
      </w:r>
      <w:r>
        <w:rPr>
          <w:rFonts w:ascii="Calibri" w:hAnsi="Calibri" w:cs="Times New Roman"/>
          <w:sz w:val="22"/>
          <w:szCs w:val="22"/>
          <w:lang w:val="en-US"/>
        </w:rPr>
        <w:t xml:space="preserve"> measure progress against these outcomes and indicators. </w:t>
      </w:r>
    </w:p>
    <w:p w14:paraId="2FD28850" w14:textId="3AC43084" w:rsidR="004002C6" w:rsidRDefault="004002C6" w:rsidP="0098183D">
      <w:pPr>
        <w:rPr>
          <w:rFonts w:ascii="Calibri" w:hAnsi="Calibri" w:cs="Times New Roman"/>
          <w:sz w:val="22"/>
          <w:szCs w:val="22"/>
          <w:lang w:val="en-US"/>
        </w:rPr>
      </w:pPr>
    </w:p>
    <w:p w14:paraId="13860E6C" w14:textId="1AE7B2E6" w:rsidR="004002C6" w:rsidRPr="004002C6" w:rsidRDefault="004002C6" w:rsidP="0098183D">
      <w:pPr>
        <w:rPr>
          <w:rFonts w:ascii="Calibri" w:hAnsi="Calibri" w:cs="Times New Roman"/>
          <w:b/>
          <w:sz w:val="22"/>
          <w:szCs w:val="22"/>
          <w:u w:val="single"/>
          <w:lang w:val="en-US"/>
        </w:rPr>
      </w:pPr>
      <w:r w:rsidRPr="004002C6">
        <w:rPr>
          <w:rFonts w:ascii="Calibri" w:hAnsi="Calibri" w:cs="Times New Roman"/>
          <w:b/>
          <w:sz w:val="22"/>
          <w:szCs w:val="22"/>
          <w:u w:val="single"/>
          <w:lang w:val="en-US"/>
        </w:rPr>
        <w:t>Table 1. Project intended outcomes and indicators</w:t>
      </w:r>
    </w:p>
    <w:p w14:paraId="5C9D05FF" w14:textId="0A8FEA42" w:rsidR="00EB713C" w:rsidRDefault="00EB713C" w:rsidP="00EB713C">
      <w:pPr>
        <w:rPr>
          <w:lang w:val="en-US"/>
        </w:rPr>
      </w:pPr>
    </w:p>
    <w:tbl>
      <w:tblPr>
        <w:tblStyle w:val="TableGrid"/>
        <w:tblW w:w="0" w:type="auto"/>
        <w:tblLook w:val="04A0" w:firstRow="1" w:lastRow="0" w:firstColumn="1" w:lastColumn="0" w:noHBand="0" w:noVBand="1"/>
      </w:tblPr>
      <w:tblGrid>
        <w:gridCol w:w="2245"/>
        <w:gridCol w:w="2340"/>
        <w:gridCol w:w="4765"/>
      </w:tblGrid>
      <w:tr w:rsidR="00983F6E" w:rsidRPr="0098183D" w14:paraId="67BDA220" w14:textId="77777777" w:rsidTr="0098183D">
        <w:tc>
          <w:tcPr>
            <w:tcW w:w="2245" w:type="dxa"/>
            <w:shd w:val="clear" w:color="auto" w:fill="D9D9D9" w:themeFill="background1" w:themeFillShade="D9"/>
          </w:tcPr>
          <w:p w14:paraId="4BC4AD83" w14:textId="42E7B563" w:rsidR="00983F6E" w:rsidRPr="0098183D" w:rsidRDefault="0098183D" w:rsidP="00983F6E">
            <w:pPr>
              <w:rPr>
                <w:rFonts w:asciiTheme="minorHAnsi" w:hAnsiTheme="minorHAnsi"/>
                <w:b/>
                <w:sz w:val="22"/>
              </w:rPr>
            </w:pPr>
            <w:r w:rsidRPr="0098183D">
              <w:rPr>
                <w:rFonts w:asciiTheme="minorHAnsi" w:hAnsiTheme="minorHAnsi"/>
                <w:b/>
                <w:sz w:val="22"/>
              </w:rPr>
              <w:t>Intermediate outcomes</w:t>
            </w:r>
          </w:p>
        </w:tc>
        <w:tc>
          <w:tcPr>
            <w:tcW w:w="2340" w:type="dxa"/>
            <w:shd w:val="clear" w:color="auto" w:fill="D9D9D9" w:themeFill="background1" w:themeFillShade="D9"/>
          </w:tcPr>
          <w:p w14:paraId="53416703" w14:textId="76461B0D" w:rsidR="00983F6E" w:rsidRPr="0098183D" w:rsidRDefault="0098183D" w:rsidP="00983F6E">
            <w:pPr>
              <w:rPr>
                <w:rFonts w:asciiTheme="minorHAnsi" w:hAnsiTheme="minorHAnsi"/>
                <w:b/>
                <w:sz w:val="22"/>
              </w:rPr>
            </w:pPr>
            <w:r w:rsidRPr="0098183D">
              <w:rPr>
                <w:rFonts w:asciiTheme="minorHAnsi" w:hAnsiTheme="minorHAnsi"/>
                <w:b/>
                <w:sz w:val="22"/>
              </w:rPr>
              <w:t>Immediate outcomes</w:t>
            </w:r>
          </w:p>
        </w:tc>
        <w:tc>
          <w:tcPr>
            <w:tcW w:w="4765" w:type="dxa"/>
            <w:shd w:val="clear" w:color="auto" w:fill="D9D9D9" w:themeFill="background1" w:themeFillShade="D9"/>
          </w:tcPr>
          <w:p w14:paraId="0F19B190" w14:textId="09799283" w:rsidR="00983F6E" w:rsidRPr="0098183D" w:rsidRDefault="0098183D" w:rsidP="00983F6E">
            <w:pPr>
              <w:rPr>
                <w:rFonts w:asciiTheme="minorHAnsi" w:hAnsiTheme="minorHAnsi"/>
                <w:b/>
                <w:sz w:val="22"/>
              </w:rPr>
            </w:pPr>
            <w:r w:rsidRPr="0098183D">
              <w:rPr>
                <w:rFonts w:asciiTheme="minorHAnsi" w:hAnsiTheme="minorHAnsi"/>
                <w:b/>
                <w:sz w:val="22"/>
              </w:rPr>
              <w:t>Indicators</w:t>
            </w:r>
          </w:p>
        </w:tc>
      </w:tr>
      <w:tr w:rsidR="00463C9F" w:rsidRPr="0098183D" w14:paraId="1C8716FA" w14:textId="77777777" w:rsidTr="00463C9F">
        <w:trPr>
          <w:trHeight w:val="404"/>
        </w:trPr>
        <w:tc>
          <w:tcPr>
            <w:tcW w:w="9350" w:type="dxa"/>
            <w:gridSpan w:val="3"/>
            <w:shd w:val="clear" w:color="auto" w:fill="F2F2F2" w:themeFill="background1" w:themeFillShade="F2"/>
          </w:tcPr>
          <w:p w14:paraId="71E9419D" w14:textId="0EDCFADD" w:rsidR="00463C9F" w:rsidRPr="00463C9F" w:rsidRDefault="00463C9F" w:rsidP="00463C9F">
            <w:pPr>
              <w:jc w:val="center"/>
              <w:rPr>
                <w:rFonts w:asciiTheme="minorHAnsi" w:hAnsiTheme="minorHAnsi"/>
                <w:b/>
                <w:sz w:val="22"/>
              </w:rPr>
            </w:pPr>
            <w:r w:rsidRPr="00463C9F">
              <w:rPr>
                <w:rFonts w:asciiTheme="minorHAnsi" w:hAnsiTheme="minorHAnsi"/>
                <w:b/>
                <w:sz w:val="22"/>
              </w:rPr>
              <w:t>PILLAR 1</w:t>
            </w:r>
          </w:p>
        </w:tc>
      </w:tr>
      <w:tr w:rsidR="00983F6E" w:rsidRPr="0098183D" w14:paraId="2310AD2A" w14:textId="77777777" w:rsidTr="0098183D">
        <w:trPr>
          <w:trHeight w:val="2672"/>
        </w:trPr>
        <w:tc>
          <w:tcPr>
            <w:tcW w:w="2245" w:type="dxa"/>
            <w:vMerge w:val="restart"/>
          </w:tcPr>
          <w:p w14:paraId="2536368D" w14:textId="77777777" w:rsidR="00983F6E" w:rsidRPr="0098183D" w:rsidRDefault="00983F6E" w:rsidP="00983F6E">
            <w:pPr>
              <w:rPr>
                <w:rFonts w:asciiTheme="minorHAnsi" w:hAnsiTheme="minorHAnsi"/>
                <w:sz w:val="22"/>
              </w:rPr>
            </w:pPr>
            <w:r w:rsidRPr="0098183D">
              <w:rPr>
                <w:rFonts w:asciiTheme="minorHAnsi" w:hAnsiTheme="minorHAnsi"/>
                <w:sz w:val="22"/>
              </w:rPr>
              <w:t xml:space="preserve">1100 INTERMEDIATE OUTCOME: </w:t>
            </w:r>
          </w:p>
          <w:p w14:paraId="71018408" w14:textId="3DA35E8C" w:rsidR="00983F6E" w:rsidRPr="0098183D" w:rsidRDefault="00983F6E" w:rsidP="00983F6E">
            <w:pPr>
              <w:rPr>
                <w:rFonts w:asciiTheme="minorHAnsi" w:hAnsiTheme="minorHAnsi"/>
                <w:sz w:val="22"/>
              </w:rPr>
            </w:pPr>
            <w:r w:rsidRPr="0098183D">
              <w:rPr>
                <w:rFonts w:asciiTheme="minorHAnsi" w:hAnsiTheme="minorHAnsi"/>
                <w:sz w:val="22"/>
              </w:rPr>
              <w:t xml:space="preserve">Afghan society and government are more effectively supporting the protection of rights of women and girls from gender-based violence through enhanced commitment, policies and programming that defend the rights of women and girls </w:t>
            </w:r>
          </w:p>
        </w:tc>
        <w:tc>
          <w:tcPr>
            <w:tcW w:w="2340" w:type="dxa"/>
          </w:tcPr>
          <w:p w14:paraId="62332203" w14:textId="5E4E6726" w:rsidR="00983F6E" w:rsidRPr="0098183D" w:rsidRDefault="00983F6E" w:rsidP="00983F6E">
            <w:pPr>
              <w:rPr>
                <w:rFonts w:asciiTheme="minorHAnsi" w:hAnsiTheme="minorHAnsi"/>
                <w:sz w:val="22"/>
              </w:rPr>
            </w:pPr>
            <w:r w:rsidRPr="0098183D">
              <w:rPr>
                <w:rFonts w:asciiTheme="minorHAnsi" w:hAnsiTheme="minorHAnsi"/>
                <w:sz w:val="22"/>
              </w:rPr>
              <w:t>1110 IMMEDIATE OUTCOME: Increased awareness among women, men, and influencers of legal rights and laws that defend the rights of women and girls, including the right to be free from violence</w:t>
            </w:r>
          </w:p>
        </w:tc>
        <w:tc>
          <w:tcPr>
            <w:tcW w:w="4765" w:type="dxa"/>
          </w:tcPr>
          <w:p w14:paraId="7EAA8631" w14:textId="40006CBE" w:rsidR="004002C6" w:rsidRDefault="004002C6" w:rsidP="00983F6E">
            <w:pPr>
              <w:rPr>
                <w:rFonts w:asciiTheme="minorHAnsi" w:hAnsiTheme="minorHAnsi"/>
                <w:sz w:val="22"/>
              </w:rPr>
            </w:pPr>
            <w:r w:rsidRPr="0098183D">
              <w:rPr>
                <w:rFonts w:asciiTheme="minorHAnsi" w:hAnsiTheme="minorHAnsi"/>
                <w:sz w:val="22"/>
              </w:rPr>
              <w:t>1100b: Percentage of women, men and influencers who are  motivated to be involved in initiatives to address VAWG and women's rights in their community</w:t>
            </w:r>
          </w:p>
          <w:p w14:paraId="45F0ED1D" w14:textId="77777777" w:rsidR="004002C6" w:rsidRDefault="004002C6" w:rsidP="00983F6E">
            <w:pPr>
              <w:rPr>
                <w:rFonts w:asciiTheme="minorHAnsi" w:hAnsiTheme="minorHAnsi"/>
                <w:sz w:val="22"/>
              </w:rPr>
            </w:pPr>
          </w:p>
          <w:p w14:paraId="3363899E" w14:textId="6EEAEF72" w:rsidR="00983F6E" w:rsidRPr="0098183D" w:rsidRDefault="00983F6E" w:rsidP="00983F6E">
            <w:pPr>
              <w:rPr>
                <w:rFonts w:asciiTheme="minorHAnsi" w:hAnsiTheme="minorHAnsi"/>
                <w:sz w:val="22"/>
              </w:rPr>
            </w:pPr>
            <w:r w:rsidRPr="0098183D">
              <w:rPr>
                <w:rFonts w:asciiTheme="minorHAnsi" w:hAnsiTheme="minorHAnsi"/>
                <w:sz w:val="22"/>
              </w:rPr>
              <w:t>1110a: Percentage of trained women, men, and influencers who report on improved understanding of legal rights and laws that defend the rights of women and girls, including the right to be free from violence</w:t>
            </w:r>
          </w:p>
          <w:p w14:paraId="5EACB7B6" w14:textId="6B589408" w:rsidR="00983F6E" w:rsidRPr="0098183D" w:rsidRDefault="00983F6E" w:rsidP="004002C6">
            <w:pPr>
              <w:rPr>
                <w:rFonts w:asciiTheme="minorHAnsi" w:hAnsiTheme="minorHAnsi"/>
                <w:sz w:val="22"/>
              </w:rPr>
            </w:pPr>
          </w:p>
        </w:tc>
      </w:tr>
      <w:tr w:rsidR="00983F6E" w:rsidRPr="0098183D" w14:paraId="0B07D263" w14:textId="77777777" w:rsidTr="0098183D">
        <w:trPr>
          <w:trHeight w:val="2294"/>
        </w:trPr>
        <w:tc>
          <w:tcPr>
            <w:tcW w:w="2245" w:type="dxa"/>
            <w:vMerge/>
          </w:tcPr>
          <w:p w14:paraId="51CFFB40" w14:textId="77777777" w:rsidR="00983F6E" w:rsidRPr="0098183D" w:rsidRDefault="00983F6E" w:rsidP="00983F6E">
            <w:pPr>
              <w:rPr>
                <w:rFonts w:asciiTheme="minorHAnsi" w:hAnsiTheme="minorHAnsi"/>
                <w:sz w:val="22"/>
              </w:rPr>
            </w:pPr>
          </w:p>
        </w:tc>
        <w:tc>
          <w:tcPr>
            <w:tcW w:w="2340" w:type="dxa"/>
          </w:tcPr>
          <w:p w14:paraId="32E69BAB" w14:textId="2AF36E3B" w:rsidR="00983F6E" w:rsidRPr="0098183D" w:rsidRDefault="00983F6E" w:rsidP="00983F6E">
            <w:pPr>
              <w:rPr>
                <w:rFonts w:asciiTheme="minorHAnsi" w:hAnsiTheme="minorHAnsi"/>
                <w:sz w:val="22"/>
              </w:rPr>
            </w:pPr>
            <w:r w:rsidRPr="0098183D">
              <w:rPr>
                <w:rFonts w:asciiTheme="minorHAnsi" w:hAnsiTheme="minorHAnsi"/>
                <w:sz w:val="22"/>
              </w:rPr>
              <w:t>1120 IMMEDIATE OUTCOME: Enhanced access for women and girls who experienced violence to legal support and protection programs that defend their rights</w:t>
            </w:r>
          </w:p>
        </w:tc>
        <w:tc>
          <w:tcPr>
            <w:tcW w:w="4765" w:type="dxa"/>
          </w:tcPr>
          <w:p w14:paraId="6F8548BC" w14:textId="6885EB9A" w:rsidR="00983F6E" w:rsidRPr="0098183D" w:rsidRDefault="00983F6E" w:rsidP="00983F6E">
            <w:pPr>
              <w:rPr>
                <w:rFonts w:asciiTheme="minorHAnsi" w:hAnsiTheme="minorHAnsi"/>
                <w:sz w:val="22"/>
              </w:rPr>
            </w:pPr>
            <w:r w:rsidRPr="0098183D">
              <w:rPr>
                <w:rFonts w:asciiTheme="minorHAnsi" w:hAnsiTheme="minorHAnsi"/>
                <w:sz w:val="22"/>
              </w:rPr>
              <w:t>1120a: Percentage of women and girls  aware of support services in their community</w:t>
            </w:r>
          </w:p>
          <w:p w14:paraId="07AD0768" w14:textId="1401CA12" w:rsidR="00983F6E" w:rsidRPr="0098183D" w:rsidRDefault="00983F6E" w:rsidP="00983F6E">
            <w:pPr>
              <w:rPr>
                <w:rFonts w:asciiTheme="minorHAnsi" w:hAnsiTheme="minorHAnsi"/>
                <w:sz w:val="22"/>
              </w:rPr>
            </w:pPr>
          </w:p>
          <w:p w14:paraId="53EECBA8" w14:textId="75FAC481" w:rsidR="00983F6E" w:rsidRPr="0098183D" w:rsidRDefault="00983F6E" w:rsidP="00983F6E">
            <w:pPr>
              <w:rPr>
                <w:rFonts w:asciiTheme="minorHAnsi" w:hAnsiTheme="minorHAnsi"/>
                <w:sz w:val="22"/>
              </w:rPr>
            </w:pPr>
            <w:r w:rsidRPr="0098183D">
              <w:rPr>
                <w:rFonts w:asciiTheme="minorHAnsi" w:hAnsiTheme="minorHAnsi"/>
                <w:sz w:val="22"/>
              </w:rPr>
              <w:t>1120b: Percentage of women and girls reporting on satisfaction on referral services offered for legal and protection services through the dist</w:t>
            </w:r>
            <w:r w:rsidR="0098183D" w:rsidRPr="0098183D">
              <w:rPr>
                <w:rFonts w:asciiTheme="minorHAnsi" w:hAnsiTheme="minorHAnsi"/>
                <w:sz w:val="22"/>
              </w:rPr>
              <w:t xml:space="preserve">rict-level consultation </w:t>
            </w:r>
            <w:proofErr w:type="spellStart"/>
            <w:r w:rsidR="0098183D" w:rsidRPr="0098183D">
              <w:rPr>
                <w:rFonts w:asciiTheme="minorHAnsi" w:hAnsiTheme="minorHAnsi"/>
                <w:sz w:val="22"/>
              </w:rPr>
              <w:t>centers</w:t>
            </w:r>
            <w:proofErr w:type="spellEnd"/>
          </w:p>
        </w:tc>
      </w:tr>
      <w:tr w:rsidR="00983F6E" w:rsidRPr="0098183D" w14:paraId="28961161" w14:textId="77777777" w:rsidTr="0098183D">
        <w:tc>
          <w:tcPr>
            <w:tcW w:w="2245" w:type="dxa"/>
            <w:vMerge/>
          </w:tcPr>
          <w:p w14:paraId="461ED816" w14:textId="77777777" w:rsidR="00983F6E" w:rsidRPr="0098183D" w:rsidRDefault="00983F6E" w:rsidP="00983F6E">
            <w:pPr>
              <w:rPr>
                <w:rFonts w:asciiTheme="minorHAnsi" w:hAnsiTheme="minorHAnsi"/>
                <w:sz w:val="22"/>
              </w:rPr>
            </w:pPr>
          </w:p>
        </w:tc>
        <w:tc>
          <w:tcPr>
            <w:tcW w:w="2340" w:type="dxa"/>
          </w:tcPr>
          <w:p w14:paraId="28549FB5" w14:textId="5D5FE5B6" w:rsidR="00983F6E" w:rsidRPr="0098183D" w:rsidRDefault="00983F6E" w:rsidP="00983F6E">
            <w:pPr>
              <w:rPr>
                <w:rFonts w:asciiTheme="minorHAnsi" w:hAnsiTheme="minorHAnsi"/>
                <w:sz w:val="22"/>
              </w:rPr>
            </w:pPr>
            <w:r w:rsidRPr="0098183D">
              <w:rPr>
                <w:rFonts w:asciiTheme="minorHAnsi" w:hAnsiTheme="minorHAnsi"/>
                <w:sz w:val="22"/>
              </w:rPr>
              <w:t>1130 IMMEDIATE OUTCOME: Increased access, especially for women and girls who experienced violence, to economic empowerment programs</w:t>
            </w:r>
          </w:p>
        </w:tc>
        <w:tc>
          <w:tcPr>
            <w:tcW w:w="4765" w:type="dxa"/>
          </w:tcPr>
          <w:p w14:paraId="12DB0E10" w14:textId="77777777" w:rsidR="00983F6E" w:rsidRPr="0098183D" w:rsidRDefault="00983F6E" w:rsidP="00983F6E">
            <w:pPr>
              <w:rPr>
                <w:rFonts w:asciiTheme="minorHAnsi" w:hAnsiTheme="minorHAnsi" w:cs="Times New Roman"/>
                <w:color w:val="000000"/>
                <w:sz w:val="22"/>
                <w:szCs w:val="22"/>
                <w:lang w:val="en-US"/>
              </w:rPr>
            </w:pPr>
            <w:r w:rsidRPr="0098183D">
              <w:rPr>
                <w:rFonts w:asciiTheme="minorHAnsi" w:hAnsiTheme="minorHAnsi"/>
                <w:color w:val="000000"/>
                <w:sz w:val="22"/>
                <w:szCs w:val="22"/>
              </w:rPr>
              <w:t>1130a: Percentage of women trained who are involved in economic activities</w:t>
            </w:r>
          </w:p>
          <w:p w14:paraId="17E695B8" w14:textId="77777777" w:rsidR="00983F6E" w:rsidRPr="0098183D" w:rsidRDefault="00983F6E" w:rsidP="00983F6E">
            <w:pPr>
              <w:rPr>
                <w:rFonts w:asciiTheme="minorHAnsi" w:hAnsiTheme="minorHAnsi" w:cs="Times New Roman"/>
                <w:color w:val="000000"/>
                <w:sz w:val="22"/>
                <w:szCs w:val="22"/>
                <w:lang w:val="en-US"/>
              </w:rPr>
            </w:pPr>
            <w:r w:rsidRPr="0098183D">
              <w:rPr>
                <w:rFonts w:asciiTheme="minorHAnsi" w:hAnsiTheme="minorHAnsi"/>
                <w:color w:val="000000"/>
                <w:sz w:val="22"/>
                <w:szCs w:val="22"/>
              </w:rPr>
              <w:t>1130b: Percentage of women trained reporting on improved confidence to participate in economic activities</w:t>
            </w:r>
          </w:p>
          <w:p w14:paraId="517FA2D1" w14:textId="77777777" w:rsidR="00983F6E" w:rsidRPr="0098183D" w:rsidRDefault="00983F6E" w:rsidP="00983F6E">
            <w:pPr>
              <w:rPr>
                <w:rFonts w:asciiTheme="minorHAnsi" w:hAnsiTheme="minorHAnsi"/>
                <w:sz w:val="22"/>
              </w:rPr>
            </w:pPr>
          </w:p>
        </w:tc>
      </w:tr>
      <w:tr w:rsidR="00463C9F" w:rsidRPr="0098183D" w14:paraId="099D3887" w14:textId="77777777" w:rsidTr="00596B9D">
        <w:tc>
          <w:tcPr>
            <w:tcW w:w="9350" w:type="dxa"/>
            <w:gridSpan w:val="3"/>
            <w:shd w:val="clear" w:color="auto" w:fill="F2F2F2" w:themeFill="background1" w:themeFillShade="F2"/>
          </w:tcPr>
          <w:p w14:paraId="6C3A09F7" w14:textId="41493520" w:rsidR="00463C9F" w:rsidRPr="00463C9F" w:rsidRDefault="00463C9F" w:rsidP="00463C9F">
            <w:pPr>
              <w:jc w:val="center"/>
              <w:rPr>
                <w:rFonts w:asciiTheme="minorHAnsi" w:hAnsiTheme="minorHAnsi"/>
                <w:b/>
                <w:color w:val="000000"/>
                <w:sz w:val="22"/>
                <w:szCs w:val="22"/>
              </w:rPr>
            </w:pPr>
            <w:r w:rsidRPr="00463C9F">
              <w:rPr>
                <w:rFonts w:asciiTheme="minorHAnsi" w:hAnsiTheme="minorHAnsi"/>
                <w:b/>
                <w:sz w:val="22"/>
              </w:rPr>
              <w:t>PILLAR 2</w:t>
            </w:r>
          </w:p>
        </w:tc>
      </w:tr>
      <w:tr w:rsidR="00983F6E" w:rsidRPr="0098183D" w14:paraId="1D0345E9" w14:textId="77777777" w:rsidTr="0098183D">
        <w:tc>
          <w:tcPr>
            <w:tcW w:w="2245" w:type="dxa"/>
            <w:vMerge w:val="restart"/>
          </w:tcPr>
          <w:p w14:paraId="165FBCFB" w14:textId="77777777" w:rsidR="00983F6E" w:rsidRPr="0098183D" w:rsidRDefault="00983F6E" w:rsidP="00983F6E">
            <w:pPr>
              <w:rPr>
                <w:rFonts w:asciiTheme="minorHAnsi" w:hAnsiTheme="minorHAnsi"/>
                <w:sz w:val="22"/>
              </w:rPr>
            </w:pPr>
            <w:r w:rsidRPr="0098183D">
              <w:rPr>
                <w:rFonts w:asciiTheme="minorHAnsi" w:hAnsiTheme="minorHAnsi"/>
                <w:sz w:val="22"/>
              </w:rPr>
              <w:lastRenderedPageBreak/>
              <w:t xml:space="preserve">1200 INTERMEDIATE OUTCOME (1200): Strengthened Afghan civil society organizations (CSOs) are actively coordinating, advocating, protecting and promoting the rights and empowerment of women and girls </w:t>
            </w:r>
          </w:p>
          <w:p w14:paraId="20258DD5" w14:textId="77777777" w:rsidR="00983F6E" w:rsidRPr="0098183D" w:rsidRDefault="00983F6E" w:rsidP="00983F6E">
            <w:pPr>
              <w:rPr>
                <w:rFonts w:asciiTheme="minorHAnsi" w:hAnsiTheme="minorHAnsi"/>
                <w:sz w:val="22"/>
              </w:rPr>
            </w:pPr>
          </w:p>
        </w:tc>
        <w:tc>
          <w:tcPr>
            <w:tcW w:w="2340" w:type="dxa"/>
          </w:tcPr>
          <w:p w14:paraId="5BBEE4D1" w14:textId="658C6F3C" w:rsidR="00983F6E" w:rsidRPr="0098183D" w:rsidRDefault="00983F6E" w:rsidP="00983F6E">
            <w:pPr>
              <w:rPr>
                <w:rFonts w:asciiTheme="minorHAnsi" w:hAnsiTheme="minorHAnsi"/>
                <w:sz w:val="22"/>
              </w:rPr>
            </w:pPr>
            <w:r w:rsidRPr="0098183D">
              <w:rPr>
                <w:rFonts w:asciiTheme="minorHAnsi" w:hAnsiTheme="minorHAnsi"/>
                <w:sz w:val="22"/>
              </w:rPr>
              <w:t>1210 IMMEDIATE OUTCOME: Increased capacity of Afghan CSOs and networks to develop joint accountability mechanisms to monitor the Afghan Government’s policies and programs on women’s and girls’ rights and empowerment</w:t>
            </w:r>
          </w:p>
        </w:tc>
        <w:tc>
          <w:tcPr>
            <w:tcW w:w="4765" w:type="dxa"/>
          </w:tcPr>
          <w:p w14:paraId="59FC5B35" w14:textId="040A6334" w:rsidR="00983F6E" w:rsidRPr="0098183D" w:rsidRDefault="00983F6E" w:rsidP="00983F6E">
            <w:pPr>
              <w:rPr>
                <w:rFonts w:asciiTheme="minorHAnsi" w:hAnsiTheme="minorHAnsi"/>
                <w:color w:val="000000"/>
                <w:sz w:val="22"/>
                <w:szCs w:val="22"/>
              </w:rPr>
            </w:pPr>
            <w:r w:rsidRPr="0098183D">
              <w:rPr>
                <w:rFonts w:asciiTheme="minorHAnsi" w:hAnsiTheme="minorHAnsi"/>
                <w:color w:val="000000"/>
                <w:sz w:val="22"/>
                <w:szCs w:val="22"/>
              </w:rPr>
              <w:t>1200b: Number of effective inter/intra-agency collaborations between Afghan CSOs and/or government agencies or private sector on advocacy and promoting the rights of women and girls</w:t>
            </w:r>
          </w:p>
          <w:p w14:paraId="1D8C6D94" w14:textId="2F547646" w:rsidR="00983F6E" w:rsidRPr="0098183D" w:rsidRDefault="00983F6E" w:rsidP="00983F6E">
            <w:pPr>
              <w:rPr>
                <w:rFonts w:asciiTheme="minorHAnsi" w:hAnsiTheme="minorHAnsi"/>
                <w:color w:val="000000"/>
                <w:sz w:val="22"/>
                <w:szCs w:val="22"/>
              </w:rPr>
            </w:pPr>
          </w:p>
          <w:p w14:paraId="18718F2A" w14:textId="77777777" w:rsidR="00983F6E" w:rsidRPr="0098183D" w:rsidRDefault="00983F6E" w:rsidP="00983F6E">
            <w:pPr>
              <w:rPr>
                <w:rFonts w:asciiTheme="minorHAnsi" w:hAnsiTheme="minorHAnsi" w:cs="Times New Roman"/>
                <w:color w:val="000000"/>
                <w:sz w:val="22"/>
                <w:szCs w:val="22"/>
                <w:lang w:val="en-US"/>
              </w:rPr>
            </w:pPr>
            <w:r w:rsidRPr="0098183D">
              <w:rPr>
                <w:rFonts w:asciiTheme="minorHAnsi" w:hAnsiTheme="minorHAnsi" w:cs="Times New Roman"/>
                <w:color w:val="000000"/>
                <w:sz w:val="22"/>
                <w:szCs w:val="22"/>
                <w:lang w:val="en-US"/>
              </w:rPr>
              <w:t>1210a: Number of CSOs and WROs supported reporting on increased knowledge to deliver effective, transparent and accountable programs  on women’s rights issues s</w:t>
            </w:r>
          </w:p>
          <w:p w14:paraId="455D07DB" w14:textId="1AE15F2D" w:rsidR="00983F6E" w:rsidRPr="0098183D" w:rsidRDefault="00983F6E" w:rsidP="00983F6E">
            <w:pPr>
              <w:rPr>
                <w:rFonts w:asciiTheme="minorHAnsi" w:hAnsiTheme="minorHAnsi" w:cs="Times New Roman"/>
                <w:color w:val="000000"/>
                <w:sz w:val="22"/>
                <w:szCs w:val="22"/>
                <w:lang w:val="en-US"/>
              </w:rPr>
            </w:pPr>
            <w:r w:rsidRPr="0098183D">
              <w:rPr>
                <w:rFonts w:asciiTheme="minorHAnsi" w:hAnsiTheme="minorHAnsi" w:cs="Times New Roman"/>
                <w:color w:val="000000"/>
                <w:sz w:val="22"/>
                <w:szCs w:val="22"/>
                <w:lang w:val="en-US"/>
              </w:rPr>
              <w:t>1210b: Number of Afghan CSOs trained who report on increased awareness and willingness to engage with government for national commitments on women’s rights</w:t>
            </w:r>
          </w:p>
        </w:tc>
      </w:tr>
      <w:tr w:rsidR="00983F6E" w:rsidRPr="0098183D" w14:paraId="06A4E75B" w14:textId="77777777" w:rsidTr="0098183D">
        <w:tc>
          <w:tcPr>
            <w:tcW w:w="2245" w:type="dxa"/>
            <w:vMerge/>
          </w:tcPr>
          <w:p w14:paraId="219DBDF5" w14:textId="77777777" w:rsidR="00983F6E" w:rsidRPr="0098183D" w:rsidRDefault="00983F6E" w:rsidP="00983F6E">
            <w:pPr>
              <w:rPr>
                <w:rFonts w:asciiTheme="minorHAnsi" w:hAnsiTheme="minorHAnsi"/>
                <w:sz w:val="22"/>
              </w:rPr>
            </w:pPr>
          </w:p>
        </w:tc>
        <w:tc>
          <w:tcPr>
            <w:tcW w:w="2340" w:type="dxa"/>
          </w:tcPr>
          <w:p w14:paraId="3B8D3054" w14:textId="6B0C172F" w:rsidR="00983F6E" w:rsidRPr="0098183D" w:rsidRDefault="00983F6E" w:rsidP="00983F6E">
            <w:pPr>
              <w:rPr>
                <w:rFonts w:asciiTheme="minorHAnsi" w:eastAsia="Trebuchet MS" w:hAnsiTheme="minorHAnsi"/>
                <w:sz w:val="22"/>
              </w:rPr>
            </w:pPr>
            <w:r w:rsidRPr="0098183D">
              <w:rPr>
                <w:rFonts w:asciiTheme="minorHAnsi" w:eastAsia="Trebuchet MS" w:hAnsiTheme="minorHAnsi"/>
                <w:sz w:val="22"/>
              </w:rPr>
              <w:t>1220 IMMEDIATE</w:t>
            </w:r>
            <w:r w:rsidRPr="0098183D">
              <w:rPr>
                <w:rFonts w:asciiTheme="minorHAnsi" w:hAnsiTheme="minorHAnsi"/>
                <w:sz w:val="22"/>
              </w:rPr>
              <w:t xml:space="preserve"> </w:t>
            </w:r>
            <w:r w:rsidRPr="0098183D">
              <w:rPr>
                <w:rFonts w:asciiTheme="minorHAnsi" w:eastAsia="Trebuchet MS" w:hAnsiTheme="minorHAnsi"/>
                <w:sz w:val="22"/>
              </w:rPr>
              <w:t>OUTCOME: Increased capacity of the Afghan CSO networks to membership and share knowledge on women and girls’ rights and empowerment</w:t>
            </w:r>
          </w:p>
        </w:tc>
        <w:tc>
          <w:tcPr>
            <w:tcW w:w="4765" w:type="dxa"/>
          </w:tcPr>
          <w:p w14:paraId="010DDC6D" w14:textId="77777777" w:rsidR="00983F6E" w:rsidRPr="0098183D" w:rsidRDefault="00983F6E" w:rsidP="00983F6E">
            <w:pPr>
              <w:rPr>
                <w:rFonts w:asciiTheme="minorHAnsi" w:hAnsiTheme="minorHAnsi"/>
                <w:sz w:val="22"/>
              </w:rPr>
            </w:pPr>
            <w:r w:rsidRPr="0098183D">
              <w:rPr>
                <w:rFonts w:asciiTheme="minorHAnsi" w:hAnsiTheme="minorHAnsi"/>
                <w:sz w:val="22"/>
              </w:rPr>
              <w:t>1220a: Number of new CSOs that join various Afghan CSO networks working on advancing women's rights</w:t>
            </w:r>
          </w:p>
          <w:p w14:paraId="3283D591" w14:textId="0BCDF3E1" w:rsidR="00983F6E" w:rsidRPr="0098183D" w:rsidRDefault="00983F6E" w:rsidP="00983F6E">
            <w:pPr>
              <w:rPr>
                <w:rFonts w:asciiTheme="minorHAnsi" w:hAnsiTheme="minorHAnsi"/>
                <w:sz w:val="22"/>
              </w:rPr>
            </w:pPr>
            <w:r w:rsidRPr="0098183D">
              <w:rPr>
                <w:rFonts w:asciiTheme="minorHAnsi" w:hAnsiTheme="minorHAnsi"/>
                <w:sz w:val="22"/>
              </w:rPr>
              <w:t>1220b: Number of new Afghan CSOs from target areas reporting on improved capacity to influence on women’s rights and empowerment</w:t>
            </w:r>
          </w:p>
        </w:tc>
      </w:tr>
      <w:tr w:rsidR="00983F6E" w:rsidRPr="0098183D" w14:paraId="5989DAB9" w14:textId="77777777" w:rsidTr="0098183D">
        <w:tc>
          <w:tcPr>
            <w:tcW w:w="2245" w:type="dxa"/>
            <w:vMerge/>
          </w:tcPr>
          <w:p w14:paraId="7F4C5310" w14:textId="77777777" w:rsidR="00983F6E" w:rsidRPr="0098183D" w:rsidRDefault="00983F6E" w:rsidP="00983F6E">
            <w:pPr>
              <w:rPr>
                <w:rFonts w:asciiTheme="minorHAnsi" w:hAnsiTheme="minorHAnsi"/>
                <w:sz w:val="22"/>
              </w:rPr>
            </w:pPr>
          </w:p>
        </w:tc>
        <w:tc>
          <w:tcPr>
            <w:tcW w:w="2340" w:type="dxa"/>
          </w:tcPr>
          <w:p w14:paraId="2E1B982E" w14:textId="0341DAC7" w:rsidR="00983F6E" w:rsidRPr="0098183D" w:rsidRDefault="00983F6E" w:rsidP="00983F6E">
            <w:pPr>
              <w:rPr>
                <w:rFonts w:asciiTheme="minorHAnsi" w:hAnsiTheme="minorHAnsi"/>
                <w:sz w:val="22"/>
              </w:rPr>
            </w:pPr>
            <w:r w:rsidRPr="0098183D">
              <w:rPr>
                <w:rFonts w:asciiTheme="minorHAnsi" w:hAnsiTheme="minorHAnsi"/>
                <w:sz w:val="22"/>
              </w:rPr>
              <w:t>1230 IMMEDIATE OUTCOME: Increased ability of the Afghan CSOs and networks to coordinate, promote and advocate for the participation of women and girls in decision-making processes</w:t>
            </w:r>
          </w:p>
        </w:tc>
        <w:tc>
          <w:tcPr>
            <w:tcW w:w="4765" w:type="dxa"/>
          </w:tcPr>
          <w:p w14:paraId="296D9787" w14:textId="77777777" w:rsidR="00983F6E" w:rsidRPr="0098183D" w:rsidRDefault="00983F6E" w:rsidP="00983F6E">
            <w:pPr>
              <w:rPr>
                <w:rFonts w:asciiTheme="minorHAnsi" w:hAnsiTheme="minorHAnsi"/>
                <w:sz w:val="22"/>
              </w:rPr>
            </w:pPr>
            <w:r w:rsidRPr="0098183D">
              <w:rPr>
                <w:rFonts w:asciiTheme="minorHAnsi" w:hAnsiTheme="minorHAnsi"/>
                <w:sz w:val="22"/>
              </w:rPr>
              <w:t>1230a: Percentage of Afghan CSOs reporting on improved skills on advocacy and advocacy strategy development</w:t>
            </w:r>
          </w:p>
          <w:p w14:paraId="73A9F0DA" w14:textId="6C5AE58A" w:rsidR="00983F6E" w:rsidRPr="0098183D" w:rsidRDefault="00983F6E" w:rsidP="00983F6E">
            <w:pPr>
              <w:rPr>
                <w:rFonts w:asciiTheme="minorHAnsi" w:hAnsiTheme="minorHAnsi"/>
                <w:sz w:val="22"/>
              </w:rPr>
            </w:pPr>
            <w:r w:rsidRPr="0098183D">
              <w:rPr>
                <w:rFonts w:asciiTheme="minorHAnsi" w:hAnsiTheme="minorHAnsi"/>
                <w:sz w:val="22"/>
              </w:rPr>
              <w:t>1230b: Number of advocacy/campaigns implemented by trained Afghan CSOs to promote and advocate for the participation of women and girls in decision-making processes</w:t>
            </w:r>
          </w:p>
        </w:tc>
      </w:tr>
    </w:tbl>
    <w:p w14:paraId="42339D77" w14:textId="77777777" w:rsidR="0098183D" w:rsidRDefault="0098183D" w:rsidP="006F1462">
      <w:pPr>
        <w:pStyle w:val="Heading1"/>
        <w:rPr>
          <w:lang w:val="en-US"/>
        </w:rPr>
      </w:pPr>
    </w:p>
    <w:p w14:paraId="1A955B52" w14:textId="67D467E4" w:rsidR="00E23AB9" w:rsidRPr="009A52B8" w:rsidRDefault="004002C6" w:rsidP="006F1462">
      <w:pPr>
        <w:pStyle w:val="Heading1"/>
        <w:rPr>
          <w:lang w:val="en-US"/>
        </w:rPr>
      </w:pPr>
      <w:r>
        <w:rPr>
          <w:lang w:val="en-US"/>
        </w:rPr>
        <w:t>Annual data collection m</w:t>
      </w:r>
      <w:r w:rsidR="00E23AB9" w:rsidRPr="009A52B8">
        <w:rPr>
          <w:lang w:val="en-US"/>
        </w:rPr>
        <w:t>ethodology</w:t>
      </w:r>
    </w:p>
    <w:p w14:paraId="1F4B769C" w14:textId="74021F19" w:rsidR="00463C9F" w:rsidRDefault="00E23AB9" w:rsidP="00E23AB9">
      <w:pPr>
        <w:rPr>
          <w:rFonts w:ascii="Calibri" w:eastAsia="Calibri" w:hAnsi="Calibri"/>
          <w:sz w:val="22"/>
          <w:szCs w:val="22"/>
          <w:lang w:val="en-US"/>
        </w:rPr>
      </w:pPr>
      <w:r w:rsidRPr="00E23AB9">
        <w:rPr>
          <w:rFonts w:ascii="Calibri" w:hAnsi="Calibri" w:cs="Times New Roman"/>
          <w:sz w:val="22"/>
          <w:szCs w:val="22"/>
          <w:lang w:val="en-US"/>
        </w:rPr>
        <w:t xml:space="preserve">The </w:t>
      </w:r>
      <w:r>
        <w:rPr>
          <w:rFonts w:ascii="Calibri" w:hAnsi="Calibri" w:cs="Times New Roman"/>
          <w:sz w:val="22"/>
          <w:szCs w:val="22"/>
          <w:lang w:val="en-US"/>
        </w:rPr>
        <w:t>project partners and Oxfam</w:t>
      </w:r>
      <w:r w:rsidRPr="00E23AB9">
        <w:rPr>
          <w:rFonts w:ascii="Calibri" w:hAnsi="Calibri" w:cs="Times New Roman"/>
          <w:sz w:val="22"/>
          <w:szCs w:val="22"/>
          <w:lang w:val="en-US"/>
        </w:rPr>
        <w:t xml:space="preserve"> will collect data from direct beneficiaries who have </w:t>
      </w:r>
      <w:r w:rsidR="009A52B8">
        <w:rPr>
          <w:rFonts w:ascii="Calibri" w:hAnsi="Calibri" w:cs="Times New Roman"/>
          <w:sz w:val="22"/>
          <w:szCs w:val="22"/>
          <w:lang w:val="en-US"/>
        </w:rPr>
        <w:t>participated in project activities over the past six to eight months (J</w:t>
      </w:r>
      <w:r w:rsidR="0014271B">
        <w:rPr>
          <w:rFonts w:ascii="Calibri" w:hAnsi="Calibri" w:cs="Times New Roman"/>
          <w:sz w:val="22"/>
          <w:szCs w:val="22"/>
          <w:lang w:val="en-US"/>
        </w:rPr>
        <w:t>une</w:t>
      </w:r>
      <w:r w:rsidR="009A52B8">
        <w:rPr>
          <w:rFonts w:ascii="Calibri" w:hAnsi="Calibri" w:cs="Times New Roman"/>
          <w:sz w:val="22"/>
          <w:szCs w:val="22"/>
          <w:lang w:val="en-US"/>
        </w:rPr>
        <w:t>2020</w:t>
      </w:r>
      <w:r w:rsidR="00071E6E">
        <w:rPr>
          <w:rStyle w:val="FootnoteReference"/>
          <w:rFonts w:ascii="Calibri" w:hAnsi="Calibri" w:cs="Times New Roman"/>
          <w:sz w:val="22"/>
          <w:szCs w:val="22"/>
          <w:lang w:val="en-US"/>
        </w:rPr>
        <w:footnoteReference w:id="2"/>
      </w:r>
      <w:r w:rsidR="009A52B8">
        <w:rPr>
          <w:rFonts w:ascii="Calibri" w:hAnsi="Calibri" w:cs="Times New Roman"/>
          <w:sz w:val="22"/>
          <w:szCs w:val="22"/>
          <w:lang w:val="en-US"/>
        </w:rPr>
        <w:t xml:space="preserve"> to February 2021)</w:t>
      </w:r>
      <w:r w:rsidRPr="00E23AB9">
        <w:rPr>
          <w:rFonts w:ascii="Calibri" w:hAnsi="Calibri" w:cs="Times New Roman"/>
          <w:sz w:val="22"/>
          <w:szCs w:val="22"/>
          <w:lang w:val="en-US"/>
        </w:rPr>
        <w:t xml:space="preserve">  to provide us with information on the progress made (or lack thereof) on the project’s outcomes</w:t>
      </w:r>
      <w:r w:rsidR="00543F13">
        <w:rPr>
          <w:rFonts w:ascii="Calibri" w:hAnsi="Calibri" w:cs="Times New Roman"/>
          <w:sz w:val="22"/>
          <w:szCs w:val="22"/>
          <w:lang w:val="en-US"/>
        </w:rPr>
        <w:t>, and associated project implementation strengths, challenges, and gaps</w:t>
      </w:r>
      <w:r w:rsidR="009A52B8">
        <w:rPr>
          <w:rFonts w:ascii="Calibri" w:hAnsi="Calibri" w:cs="Times New Roman"/>
          <w:sz w:val="22"/>
          <w:szCs w:val="22"/>
          <w:lang w:val="en-US"/>
        </w:rPr>
        <w:t xml:space="preserve">. </w:t>
      </w:r>
      <w:r w:rsidR="009A52B8">
        <w:rPr>
          <w:rFonts w:ascii="Calibri" w:eastAsia="Calibri" w:hAnsi="Calibri"/>
          <w:sz w:val="22"/>
          <w:szCs w:val="22"/>
          <w:lang w:val="en-US"/>
        </w:rPr>
        <w:t xml:space="preserve">The methods include focus groups, interviews, and some quantitative data collection and results tracking. </w:t>
      </w:r>
      <w:r w:rsidR="009A52B8" w:rsidRPr="00C1162C">
        <w:rPr>
          <w:rFonts w:ascii="Calibri" w:eastAsia="Calibri" w:hAnsi="Calibri"/>
          <w:sz w:val="22"/>
          <w:szCs w:val="22"/>
          <w:lang w:val="en-US"/>
        </w:rPr>
        <w:t xml:space="preserve"> </w:t>
      </w:r>
      <w:r w:rsidR="0030420B">
        <w:rPr>
          <w:rFonts w:ascii="Calibri" w:eastAsia="Calibri" w:hAnsi="Calibri"/>
          <w:sz w:val="22"/>
          <w:szCs w:val="22"/>
          <w:lang w:val="en-US"/>
        </w:rPr>
        <w:t xml:space="preserve">Data will be collected across six project districts between Herat and Balkh provinces. </w:t>
      </w:r>
    </w:p>
    <w:p w14:paraId="7F08C238" w14:textId="77777777" w:rsidR="00463C9F" w:rsidRDefault="00463C9F" w:rsidP="00E23AB9">
      <w:pPr>
        <w:rPr>
          <w:rFonts w:ascii="Calibri" w:eastAsia="Calibri" w:hAnsi="Calibri"/>
          <w:b/>
          <w:sz w:val="22"/>
          <w:szCs w:val="22"/>
          <w:lang w:val="en-US"/>
        </w:rPr>
      </w:pPr>
    </w:p>
    <w:p w14:paraId="1D895F58" w14:textId="27E978A2" w:rsidR="0030420B" w:rsidRPr="00463C9F" w:rsidRDefault="00463C9F" w:rsidP="00E23AB9">
      <w:pPr>
        <w:rPr>
          <w:rFonts w:ascii="Calibri" w:eastAsia="Calibri" w:hAnsi="Calibri"/>
          <w:b/>
          <w:sz w:val="22"/>
          <w:szCs w:val="22"/>
          <w:lang w:val="en-US"/>
        </w:rPr>
      </w:pPr>
      <w:r w:rsidRPr="00463C9F">
        <w:rPr>
          <w:rFonts w:ascii="Calibri" w:eastAsia="Calibri" w:hAnsi="Calibri"/>
          <w:b/>
          <w:sz w:val="22"/>
          <w:szCs w:val="22"/>
          <w:lang w:val="en-US"/>
        </w:rPr>
        <w:t xml:space="preserve">Note: </w:t>
      </w:r>
      <w:r w:rsidR="0098183D" w:rsidRPr="00463C9F">
        <w:rPr>
          <w:rFonts w:ascii="Calibri" w:eastAsia="Calibri" w:hAnsi="Calibri"/>
          <w:b/>
          <w:sz w:val="22"/>
          <w:szCs w:val="22"/>
          <w:lang w:val="en-US"/>
        </w:rPr>
        <w:t>The consultant wi</w:t>
      </w:r>
      <w:r w:rsidR="00071E6E">
        <w:rPr>
          <w:rFonts w:ascii="Calibri" w:eastAsia="Calibri" w:hAnsi="Calibri"/>
          <w:b/>
          <w:sz w:val="22"/>
          <w:szCs w:val="22"/>
          <w:lang w:val="en-US"/>
        </w:rPr>
        <w:t>ll</w:t>
      </w:r>
      <w:r w:rsidR="0098183D" w:rsidRPr="00463C9F">
        <w:rPr>
          <w:rFonts w:ascii="Calibri" w:eastAsia="Calibri" w:hAnsi="Calibri"/>
          <w:b/>
          <w:sz w:val="22"/>
          <w:szCs w:val="22"/>
          <w:lang w:val="en-US"/>
        </w:rPr>
        <w:t xml:space="preserve"> analyze this data and report on key findings. </w:t>
      </w:r>
      <w:r w:rsidRPr="00463C9F">
        <w:rPr>
          <w:rFonts w:ascii="Calibri" w:eastAsia="Calibri" w:hAnsi="Calibri"/>
          <w:b/>
          <w:sz w:val="22"/>
          <w:szCs w:val="22"/>
          <w:lang w:val="en-US"/>
        </w:rPr>
        <w:t xml:space="preserve">They are not responsible for data collection. </w:t>
      </w:r>
    </w:p>
    <w:p w14:paraId="60598058" w14:textId="1930B7CB" w:rsidR="006F1462" w:rsidRDefault="006F1462" w:rsidP="00E23AB9">
      <w:pPr>
        <w:rPr>
          <w:rFonts w:ascii="Calibri" w:eastAsia="Calibri" w:hAnsi="Calibri"/>
          <w:sz w:val="22"/>
          <w:szCs w:val="22"/>
          <w:lang w:val="en-US"/>
        </w:rPr>
      </w:pPr>
    </w:p>
    <w:p w14:paraId="7D07B053" w14:textId="2B04483B" w:rsidR="00463C9F" w:rsidRDefault="00463C9F" w:rsidP="00E23AB9">
      <w:pPr>
        <w:rPr>
          <w:rFonts w:ascii="Calibri" w:eastAsia="Calibri" w:hAnsi="Calibri"/>
          <w:sz w:val="22"/>
          <w:szCs w:val="22"/>
          <w:lang w:val="en-US"/>
        </w:rPr>
      </w:pPr>
    </w:p>
    <w:p w14:paraId="5E53BE72" w14:textId="4DBE1266" w:rsidR="00463C9F" w:rsidRDefault="00463C9F" w:rsidP="00E23AB9">
      <w:pPr>
        <w:rPr>
          <w:rFonts w:ascii="Calibri" w:eastAsia="Calibri" w:hAnsi="Calibri"/>
          <w:sz w:val="22"/>
          <w:szCs w:val="22"/>
          <w:lang w:val="en-US"/>
        </w:rPr>
      </w:pPr>
    </w:p>
    <w:p w14:paraId="0FD4BDFB" w14:textId="77777777" w:rsidR="00463C9F" w:rsidRDefault="00463C9F" w:rsidP="00E23AB9">
      <w:pPr>
        <w:rPr>
          <w:rFonts w:ascii="Calibri" w:eastAsia="Calibri" w:hAnsi="Calibri"/>
          <w:sz w:val="22"/>
          <w:szCs w:val="22"/>
          <w:lang w:val="en-US"/>
        </w:rPr>
      </w:pPr>
    </w:p>
    <w:p w14:paraId="74908C60" w14:textId="6EE2AA6F" w:rsidR="006F1462" w:rsidRPr="00AD1E81" w:rsidRDefault="006F1462" w:rsidP="006F1462">
      <w:pPr>
        <w:pStyle w:val="Heading2"/>
        <w:rPr>
          <w:lang w:val="en-US"/>
        </w:rPr>
      </w:pPr>
      <w:r>
        <w:rPr>
          <w:lang w:val="en-US"/>
        </w:rPr>
        <w:t>Description of project activities to be evaluated</w:t>
      </w:r>
      <w:r w:rsidRPr="00AD1E81">
        <w:rPr>
          <w:lang w:val="en-US"/>
        </w:rPr>
        <w:t xml:space="preserve"> </w:t>
      </w:r>
    </w:p>
    <w:p w14:paraId="0CB0C55F" w14:textId="13A89207" w:rsidR="006F1462" w:rsidRDefault="00463C9F" w:rsidP="00E23AB9">
      <w:pPr>
        <w:rPr>
          <w:rFonts w:ascii="Calibri" w:eastAsia="Calibri" w:hAnsi="Calibri"/>
          <w:sz w:val="22"/>
          <w:szCs w:val="22"/>
          <w:lang w:val="en-US"/>
        </w:rPr>
      </w:pPr>
      <w:r>
        <w:rPr>
          <w:rFonts w:ascii="Calibri" w:eastAsia="Calibri" w:hAnsi="Calibri"/>
          <w:sz w:val="22"/>
          <w:szCs w:val="22"/>
          <w:lang w:val="en-US"/>
        </w:rPr>
        <w:t xml:space="preserve">In Pillar 1 of the project, the key activities/interventions implemented across the project districts are as follows: </w:t>
      </w:r>
    </w:p>
    <w:p w14:paraId="50774152" w14:textId="322F1F4F" w:rsidR="0098183D" w:rsidRPr="00463C9F" w:rsidRDefault="00463C9F" w:rsidP="00B84011">
      <w:pPr>
        <w:pStyle w:val="ListParagraph"/>
        <w:numPr>
          <w:ilvl w:val="0"/>
          <w:numId w:val="30"/>
        </w:numPr>
        <w:rPr>
          <w:rFonts w:eastAsia="Calibri"/>
          <w:i/>
        </w:rPr>
      </w:pPr>
      <w:r w:rsidRPr="00463C9F">
        <w:rPr>
          <w:rFonts w:eastAsia="Calibri"/>
        </w:rPr>
        <w:t>Trainings on women’s rights according to national,</w:t>
      </w:r>
      <w:r>
        <w:rPr>
          <w:rFonts w:eastAsia="Calibri"/>
        </w:rPr>
        <w:t xml:space="preserve"> international, and Islamic law. The</w:t>
      </w:r>
      <w:r w:rsidR="00071E6E">
        <w:rPr>
          <w:rFonts w:eastAsia="Calibri"/>
        </w:rPr>
        <w:t xml:space="preserve"> workshops </w:t>
      </w:r>
      <w:r>
        <w:rPr>
          <w:rFonts w:eastAsia="Calibri"/>
        </w:rPr>
        <w:t xml:space="preserve">  are provided to women and men (separately).  </w:t>
      </w:r>
      <w:r w:rsidRPr="00463C9F">
        <w:rPr>
          <w:rFonts w:eastAsia="Calibri"/>
          <w:i/>
        </w:rPr>
        <w:t>Corr</w:t>
      </w:r>
      <w:r w:rsidR="004002C6">
        <w:rPr>
          <w:rFonts w:eastAsia="Calibri"/>
          <w:i/>
        </w:rPr>
        <w:t>esponding</w:t>
      </w:r>
      <w:r w:rsidRPr="00463C9F">
        <w:rPr>
          <w:rFonts w:eastAsia="Calibri"/>
          <w:i/>
        </w:rPr>
        <w:t xml:space="preserve"> outcome</w:t>
      </w:r>
      <w:r w:rsidR="004002C6">
        <w:rPr>
          <w:rFonts w:eastAsia="Calibri"/>
          <w:i/>
        </w:rPr>
        <w:t>s</w:t>
      </w:r>
      <w:r w:rsidRPr="00463C9F">
        <w:rPr>
          <w:rFonts w:eastAsia="Calibri"/>
          <w:i/>
        </w:rPr>
        <w:t xml:space="preserve">: </w:t>
      </w:r>
      <w:r w:rsidR="004002C6">
        <w:rPr>
          <w:rFonts w:eastAsia="Calibri"/>
          <w:i/>
        </w:rPr>
        <w:t xml:space="preserve">1100b, </w:t>
      </w:r>
      <w:r w:rsidRPr="00463C9F">
        <w:rPr>
          <w:rFonts w:eastAsia="Calibri"/>
          <w:i/>
        </w:rPr>
        <w:t>1110 (see table above)</w:t>
      </w:r>
    </w:p>
    <w:p w14:paraId="0C6847B2" w14:textId="5D6C86FC" w:rsidR="00463C9F" w:rsidRPr="00463C9F" w:rsidRDefault="00463C9F" w:rsidP="00B84011">
      <w:pPr>
        <w:pStyle w:val="ListParagraph"/>
        <w:numPr>
          <w:ilvl w:val="0"/>
          <w:numId w:val="30"/>
        </w:numPr>
        <w:rPr>
          <w:rFonts w:eastAsia="Calibri"/>
          <w:i/>
        </w:rPr>
      </w:pPr>
      <w:r>
        <w:rPr>
          <w:rFonts w:eastAsia="Calibri"/>
        </w:rPr>
        <w:t xml:space="preserve">Eight month vocational training programs for women on tailoring and literacy. </w:t>
      </w:r>
      <w:r w:rsidRPr="00463C9F">
        <w:rPr>
          <w:rFonts w:eastAsia="Calibri"/>
          <w:i/>
        </w:rPr>
        <w:t xml:space="preserve">Corresponding immediate outcome: 1120 </w:t>
      </w:r>
    </w:p>
    <w:p w14:paraId="2783526E" w14:textId="26B20C9E" w:rsidR="00463C9F" w:rsidRPr="004002C6" w:rsidRDefault="00463C9F" w:rsidP="00B84011">
      <w:pPr>
        <w:pStyle w:val="ListParagraph"/>
        <w:numPr>
          <w:ilvl w:val="0"/>
          <w:numId w:val="30"/>
        </w:numPr>
        <w:rPr>
          <w:rFonts w:eastAsia="Calibri"/>
        </w:rPr>
      </w:pPr>
      <w:r>
        <w:rPr>
          <w:rFonts w:eastAsia="Calibri"/>
        </w:rPr>
        <w:t xml:space="preserve">Consultation </w:t>
      </w:r>
      <w:proofErr w:type="spellStart"/>
      <w:r>
        <w:rPr>
          <w:rFonts w:eastAsia="Calibri"/>
        </w:rPr>
        <w:t>centres</w:t>
      </w:r>
      <w:proofErr w:type="spellEnd"/>
      <w:r>
        <w:rPr>
          <w:rFonts w:eastAsia="Calibri"/>
        </w:rPr>
        <w:t xml:space="preserve"> established and operating in the project districts as a safe space where survivors of violence can access support and legal counsel, and referrals to other services. </w:t>
      </w:r>
      <w:r w:rsidRPr="00463C9F">
        <w:rPr>
          <w:rFonts w:eastAsia="Calibri"/>
          <w:i/>
        </w:rPr>
        <w:t>Corresponding immediate outcome: 1130</w:t>
      </w:r>
    </w:p>
    <w:p w14:paraId="2EB6C185" w14:textId="77777777" w:rsidR="004002C6" w:rsidRDefault="004002C6" w:rsidP="004002C6">
      <w:pPr>
        <w:rPr>
          <w:rFonts w:eastAsia="Calibri"/>
        </w:rPr>
      </w:pPr>
    </w:p>
    <w:p w14:paraId="179ACB0A" w14:textId="733A0A11" w:rsidR="004002C6" w:rsidRDefault="004002C6" w:rsidP="004002C6">
      <w:pPr>
        <w:rPr>
          <w:rFonts w:ascii="Calibri" w:eastAsia="Calibri" w:hAnsi="Calibri"/>
          <w:sz w:val="22"/>
        </w:rPr>
      </w:pPr>
      <w:r w:rsidRPr="004002C6">
        <w:rPr>
          <w:rFonts w:ascii="Calibri" w:eastAsia="Calibri" w:hAnsi="Calibri"/>
          <w:sz w:val="22"/>
        </w:rPr>
        <w:t xml:space="preserve">In Pillar 2 of the project, </w:t>
      </w:r>
      <w:r>
        <w:rPr>
          <w:rFonts w:ascii="Calibri" w:eastAsia="Calibri" w:hAnsi="Calibri"/>
          <w:sz w:val="22"/>
        </w:rPr>
        <w:t xml:space="preserve">the key interventions are: </w:t>
      </w:r>
    </w:p>
    <w:p w14:paraId="14A11056" w14:textId="32DC234B" w:rsidR="004002C6" w:rsidRDefault="004002C6" w:rsidP="004002C6">
      <w:pPr>
        <w:pStyle w:val="ListParagraph"/>
        <w:numPr>
          <w:ilvl w:val="0"/>
          <w:numId w:val="31"/>
        </w:numPr>
        <w:rPr>
          <w:rFonts w:eastAsia="Calibri"/>
          <w:i/>
        </w:rPr>
      </w:pPr>
      <w:r>
        <w:rPr>
          <w:rFonts w:eastAsia="Calibri"/>
        </w:rPr>
        <w:t xml:space="preserve">Capacity-building activities with civil society organizations (CSOs) and women’s rights organizations (WROs) on how to hold government accountable to promote and protect women’s rights. This includes planning workshops for CSOs and WROs to establish joint advocacy strategies and build stronger accountability mechanisms. </w:t>
      </w:r>
      <w:r w:rsidRPr="004002C6">
        <w:rPr>
          <w:rFonts w:eastAsia="Calibri"/>
          <w:i/>
        </w:rPr>
        <w:t xml:space="preserve">Corresponding immediate outcome: 1210 </w:t>
      </w:r>
    </w:p>
    <w:p w14:paraId="4242B549" w14:textId="0B1E2714" w:rsidR="004002C6" w:rsidRDefault="004002C6" w:rsidP="004002C6">
      <w:pPr>
        <w:pStyle w:val="ListParagraph"/>
        <w:numPr>
          <w:ilvl w:val="0"/>
          <w:numId w:val="31"/>
        </w:numPr>
        <w:rPr>
          <w:rFonts w:eastAsia="Calibri"/>
          <w:i/>
        </w:rPr>
      </w:pPr>
      <w:r>
        <w:rPr>
          <w:rFonts w:eastAsia="Calibri"/>
        </w:rPr>
        <w:t xml:space="preserve">Networking opportunities for CSOs and community-based organizations (CBOs) to build relationships and partnerships and further joint efforts on women’s rights and empowerment. </w:t>
      </w:r>
      <w:r w:rsidRPr="004002C6">
        <w:rPr>
          <w:rFonts w:eastAsia="Calibri"/>
          <w:i/>
        </w:rPr>
        <w:t>Corresponding immediate outcome: 1220</w:t>
      </w:r>
    </w:p>
    <w:p w14:paraId="1ECDE28A" w14:textId="4485391F" w:rsidR="004002C6" w:rsidRPr="004002C6" w:rsidRDefault="004002C6" w:rsidP="004002C6">
      <w:pPr>
        <w:pStyle w:val="ListParagraph"/>
        <w:numPr>
          <w:ilvl w:val="0"/>
          <w:numId w:val="31"/>
        </w:numPr>
        <w:rPr>
          <w:rFonts w:eastAsia="Calibri"/>
          <w:i/>
        </w:rPr>
      </w:pPr>
      <w:r w:rsidRPr="004002C6">
        <w:rPr>
          <w:rFonts w:eastAsia="Calibri"/>
        </w:rPr>
        <w:t>Capacity building and networking opportunities for CSOs to strengthen advocacy strategies to promote women’</w:t>
      </w:r>
      <w:r>
        <w:rPr>
          <w:rFonts w:eastAsia="Calibri"/>
        </w:rPr>
        <w:t>s participation in decision-</w:t>
      </w:r>
      <w:r w:rsidRPr="004002C6">
        <w:rPr>
          <w:rFonts w:eastAsia="Calibri"/>
        </w:rPr>
        <w:t xml:space="preserve">making processes. </w:t>
      </w:r>
      <w:r w:rsidRPr="004002C6">
        <w:rPr>
          <w:rFonts w:eastAsia="Calibri"/>
          <w:i/>
        </w:rPr>
        <w:t>Corresponding immediate outcomes: 1230</w:t>
      </w:r>
    </w:p>
    <w:p w14:paraId="0F6BC377" w14:textId="3C7C3D38" w:rsidR="00AD1E81" w:rsidRDefault="00AD1E81" w:rsidP="00E23AB9">
      <w:pPr>
        <w:rPr>
          <w:rFonts w:ascii="Calibri" w:hAnsi="Calibri" w:cs="Times New Roman"/>
          <w:sz w:val="22"/>
          <w:szCs w:val="22"/>
          <w:lang w:val="en-US"/>
        </w:rPr>
      </w:pPr>
    </w:p>
    <w:p w14:paraId="05456790" w14:textId="6C9EF4E9" w:rsidR="006F1462" w:rsidRDefault="006F1462" w:rsidP="006F1462">
      <w:pPr>
        <w:pStyle w:val="Heading2"/>
        <w:rPr>
          <w:lang w:val="en-US"/>
        </w:rPr>
      </w:pPr>
      <w:r>
        <w:rPr>
          <w:lang w:val="en-US"/>
        </w:rPr>
        <w:t xml:space="preserve">Summary of data collection methods </w:t>
      </w:r>
    </w:p>
    <w:p w14:paraId="69E21511" w14:textId="6EF14A2A" w:rsidR="0030420B" w:rsidRDefault="004002C6" w:rsidP="00E23AB9">
      <w:pPr>
        <w:rPr>
          <w:rFonts w:ascii="Calibri" w:hAnsi="Calibri" w:cs="Times New Roman"/>
          <w:sz w:val="22"/>
          <w:szCs w:val="22"/>
          <w:lang w:val="en-US"/>
        </w:rPr>
      </w:pPr>
      <w:r>
        <w:rPr>
          <w:rFonts w:ascii="Calibri" w:hAnsi="Calibri" w:cs="Times New Roman"/>
          <w:sz w:val="22"/>
          <w:szCs w:val="22"/>
          <w:lang w:val="en-US"/>
        </w:rPr>
        <w:t>Table 2</w:t>
      </w:r>
      <w:r w:rsidR="0030420B">
        <w:rPr>
          <w:rFonts w:ascii="Calibri" w:hAnsi="Calibri" w:cs="Times New Roman"/>
          <w:sz w:val="22"/>
          <w:szCs w:val="22"/>
          <w:lang w:val="en-US"/>
        </w:rPr>
        <w:t xml:space="preserve"> outlines all data collection methods and sources</w:t>
      </w:r>
      <w:r w:rsidR="000443C3">
        <w:rPr>
          <w:rFonts w:ascii="Calibri" w:hAnsi="Calibri" w:cs="Times New Roman"/>
          <w:sz w:val="22"/>
          <w:szCs w:val="22"/>
          <w:lang w:val="en-US"/>
        </w:rPr>
        <w:t xml:space="preserve">. Oxfam and partners will conduct this research, while the consultant will analyze the data collected. </w:t>
      </w:r>
      <w:r w:rsidR="0030420B">
        <w:rPr>
          <w:rFonts w:ascii="Calibri" w:hAnsi="Calibri" w:cs="Times New Roman"/>
          <w:sz w:val="22"/>
          <w:szCs w:val="22"/>
          <w:lang w:val="en-US"/>
        </w:rPr>
        <w:t xml:space="preserve"> </w:t>
      </w:r>
    </w:p>
    <w:p w14:paraId="155DBB5F" w14:textId="7B9439FA" w:rsidR="0030420B" w:rsidRDefault="0030420B" w:rsidP="00E23AB9">
      <w:pPr>
        <w:rPr>
          <w:rFonts w:ascii="Calibri" w:hAnsi="Calibri" w:cs="Times New Roman"/>
          <w:sz w:val="22"/>
          <w:szCs w:val="22"/>
          <w:lang w:val="en-US"/>
        </w:rPr>
      </w:pPr>
    </w:p>
    <w:p w14:paraId="008123B6" w14:textId="3FD3A5D9" w:rsidR="0030420B" w:rsidRPr="004002C6" w:rsidRDefault="004002C6" w:rsidP="00E23AB9">
      <w:pPr>
        <w:rPr>
          <w:rFonts w:ascii="Calibri" w:hAnsi="Calibri" w:cs="Times New Roman"/>
          <w:b/>
          <w:sz w:val="22"/>
          <w:szCs w:val="22"/>
          <w:u w:val="single"/>
          <w:lang w:val="en-US"/>
        </w:rPr>
      </w:pPr>
      <w:r w:rsidRPr="004002C6">
        <w:rPr>
          <w:rFonts w:ascii="Calibri" w:hAnsi="Calibri" w:cs="Times New Roman"/>
          <w:b/>
          <w:sz w:val="22"/>
          <w:szCs w:val="22"/>
          <w:u w:val="single"/>
          <w:lang w:val="en-US"/>
        </w:rPr>
        <w:t>Table 2</w:t>
      </w:r>
      <w:r w:rsidR="0030420B" w:rsidRPr="004002C6">
        <w:rPr>
          <w:rFonts w:ascii="Calibri" w:hAnsi="Calibri" w:cs="Times New Roman"/>
          <w:b/>
          <w:sz w:val="22"/>
          <w:szCs w:val="22"/>
          <w:u w:val="single"/>
          <w:lang w:val="en-US"/>
        </w:rPr>
        <w:t xml:space="preserve">. </w:t>
      </w:r>
      <w:r w:rsidR="000443C3" w:rsidRPr="004002C6">
        <w:rPr>
          <w:rFonts w:ascii="Calibri" w:hAnsi="Calibri" w:cs="Times New Roman"/>
          <w:b/>
          <w:sz w:val="22"/>
          <w:szCs w:val="22"/>
          <w:u w:val="single"/>
          <w:lang w:val="en-US"/>
        </w:rPr>
        <w:t>Data collection methods and sources</w:t>
      </w:r>
    </w:p>
    <w:tbl>
      <w:tblPr>
        <w:tblStyle w:val="TableGrid"/>
        <w:tblW w:w="0" w:type="auto"/>
        <w:tblLook w:val="04A0" w:firstRow="1" w:lastRow="0" w:firstColumn="1" w:lastColumn="0" w:noHBand="0" w:noVBand="1"/>
      </w:tblPr>
      <w:tblGrid>
        <w:gridCol w:w="2434"/>
        <w:gridCol w:w="1881"/>
        <w:gridCol w:w="1350"/>
        <w:gridCol w:w="3469"/>
      </w:tblGrid>
      <w:tr w:rsidR="00AD1E81" w14:paraId="5FD2E869" w14:textId="29A12168" w:rsidTr="00AD1E81">
        <w:tc>
          <w:tcPr>
            <w:tcW w:w="2434" w:type="dxa"/>
          </w:tcPr>
          <w:p w14:paraId="7993125B" w14:textId="61C70651" w:rsidR="00AD1E81" w:rsidRPr="00AD1E81" w:rsidRDefault="00AD1E81" w:rsidP="0030420B">
            <w:pPr>
              <w:rPr>
                <w:rFonts w:ascii="Calibri" w:hAnsi="Calibri" w:cs="Times New Roman"/>
                <w:b/>
                <w:sz w:val="22"/>
                <w:szCs w:val="22"/>
                <w:lang w:val="en-US"/>
              </w:rPr>
            </w:pPr>
            <w:r w:rsidRPr="00AD1E81">
              <w:rPr>
                <w:rFonts w:ascii="Calibri" w:hAnsi="Calibri" w:cs="Times New Roman"/>
                <w:b/>
                <w:sz w:val="22"/>
                <w:szCs w:val="22"/>
                <w:lang w:val="en-US"/>
              </w:rPr>
              <w:t xml:space="preserve">Project Activity </w:t>
            </w:r>
          </w:p>
        </w:tc>
        <w:tc>
          <w:tcPr>
            <w:tcW w:w="1881" w:type="dxa"/>
          </w:tcPr>
          <w:p w14:paraId="1A34349B" w14:textId="1C5F2D47" w:rsidR="00AD1E81" w:rsidRPr="00AD1E81" w:rsidRDefault="00AD1E81" w:rsidP="0030420B">
            <w:pPr>
              <w:rPr>
                <w:rFonts w:ascii="Calibri" w:hAnsi="Calibri" w:cs="Times New Roman"/>
                <w:b/>
                <w:sz w:val="22"/>
                <w:szCs w:val="22"/>
                <w:lang w:val="en-US"/>
              </w:rPr>
            </w:pPr>
            <w:r w:rsidRPr="00AD1E81">
              <w:rPr>
                <w:rFonts w:ascii="Calibri" w:hAnsi="Calibri" w:cs="Times New Roman"/>
                <w:b/>
                <w:sz w:val="22"/>
                <w:szCs w:val="22"/>
                <w:lang w:val="en-US"/>
              </w:rPr>
              <w:t>Monitoring method</w:t>
            </w:r>
          </w:p>
        </w:tc>
        <w:tc>
          <w:tcPr>
            <w:tcW w:w="1350" w:type="dxa"/>
          </w:tcPr>
          <w:p w14:paraId="6E6FC8E0" w14:textId="6004A647" w:rsidR="00AD1E81" w:rsidRPr="00AD1E81" w:rsidRDefault="00AD1E81" w:rsidP="0030420B">
            <w:pPr>
              <w:rPr>
                <w:rFonts w:ascii="Calibri" w:hAnsi="Calibri" w:cs="Times New Roman"/>
                <w:b/>
                <w:sz w:val="22"/>
                <w:szCs w:val="22"/>
                <w:lang w:val="en-US"/>
              </w:rPr>
            </w:pPr>
            <w:r w:rsidRPr="00AD1E81">
              <w:rPr>
                <w:rFonts w:ascii="Calibri" w:hAnsi="Calibri" w:cs="Times New Roman"/>
                <w:b/>
                <w:sz w:val="22"/>
                <w:szCs w:val="22"/>
                <w:lang w:val="en-US"/>
              </w:rPr>
              <w:t>Quantity</w:t>
            </w:r>
          </w:p>
        </w:tc>
        <w:tc>
          <w:tcPr>
            <w:tcW w:w="3469" w:type="dxa"/>
          </w:tcPr>
          <w:p w14:paraId="258B6B80" w14:textId="7C14F6D8" w:rsidR="00AD1E81" w:rsidRPr="00AD1E81" w:rsidRDefault="00AD1E81" w:rsidP="0030420B">
            <w:pPr>
              <w:rPr>
                <w:rFonts w:ascii="Calibri" w:hAnsi="Calibri" w:cs="Times New Roman"/>
                <w:b/>
                <w:sz w:val="22"/>
                <w:szCs w:val="22"/>
                <w:lang w:val="en-US"/>
              </w:rPr>
            </w:pPr>
            <w:r>
              <w:rPr>
                <w:rFonts w:ascii="Calibri" w:hAnsi="Calibri" w:cs="Times New Roman"/>
                <w:b/>
                <w:sz w:val="22"/>
                <w:szCs w:val="22"/>
                <w:lang w:val="en-US"/>
              </w:rPr>
              <w:t>Description</w:t>
            </w:r>
          </w:p>
        </w:tc>
      </w:tr>
      <w:tr w:rsidR="00AD1E81" w14:paraId="7537843B" w14:textId="70A7C35F" w:rsidTr="00AD1E81">
        <w:tc>
          <w:tcPr>
            <w:tcW w:w="2434" w:type="dxa"/>
          </w:tcPr>
          <w:p w14:paraId="11FD1226" w14:textId="77777777" w:rsidR="00AD1E81" w:rsidRDefault="00AD1E81" w:rsidP="0030420B">
            <w:pPr>
              <w:rPr>
                <w:rFonts w:ascii="Calibri" w:hAnsi="Calibri" w:cs="Times New Roman"/>
                <w:sz w:val="22"/>
                <w:szCs w:val="22"/>
                <w:lang w:val="en-US"/>
              </w:rPr>
            </w:pPr>
            <w:r>
              <w:rPr>
                <w:rFonts w:ascii="Calibri" w:hAnsi="Calibri" w:cs="Times New Roman"/>
                <w:sz w:val="22"/>
                <w:szCs w:val="22"/>
                <w:lang w:val="en-US"/>
              </w:rPr>
              <w:t>Legal rights trainings</w:t>
            </w:r>
          </w:p>
          <w:p w14:paraId="404493AC" w14:textId="6E4C6E9A" w:rsidR="004002C6" w:rsidRDefault="004002C6" w:rsidP="0030420B">
            <w:pPr>
              <w:rPr>
                <w:rFonts w:ascii="Calibri" w:hAnsi="Calibri" w:cs="Times New Roman"/>
                <w:sz w:val="22"/>
                <w:szCs w:val="22"/>
                <w:lang w:val="en-US"/>
              </w:rPr>
            </w:pPr>
            <w:r>
              <w:rPr>
                <w:rFonts w:ascii="Calibri" w:hAnsi="Calibri" w:cs="Times New Roman"/>
                <w:sz w:val="22"/>
                <w:szCs w:val="22"/>
                <w:lang w:val="en-US"/>
              </w:rPr>
              <w:t>(Pillar 1)</w:t>
            </w:r>
          </w:p>
        </w:tc>
        <w:tc>
          <w:tcPr>
            <w:tcW w:w="1881" w:type="dxa"/>
          </w:tcPr>
          <w:p w14:paraId="21E1F9C3" w14:textId="34BE5E3A" w:rsidR="00AD1E81" w:rsidRDefault="00AD1E81" w:rsidP="0030420B">
            <w:pPr>
              <w:rPr>
                <w:rFonts w:ascii="Calibri" w:hAnsi="Calibri" w:cs="Times New Roman"/>
                <w:sz w:val="22"/>
                <w:szCs w:val="22"/>
                <w:lang w:val="en-US"/>
              </w:rPr>
            </w:pPr>
            <w:r>
              <w:rPr>
                <w:rFonts w:ascii="Calibri" w:hAnsi="Calibri" w:cs="Times New Roman"/>
                <w:sz w:val="22"/>
                <w:szCs w:val="22"/>
                <w:lang w:val="en-US"/>
              </w:rPr>
              <w:t>Focus groups with participants</w:t>
            </w:r>
          </w:p>
        </w:tc>
        <w:tc>
          <w:tcPr>
            <w:tcW w:w="1350" w:type="dxa"/>
          </w:tcPr>
          <w:p w14:paraId="59B4CC70" w14:textId="071EB868" w:rsidR="00AD1E81" w:rsidRDefault="00AD1E81" w:rsidP="0030420B">
            <w:pPr>
              <w:rPr>
                <w:rFonts w:ascii="Calibri" w:hAnsi="Calibri" w:cs="Times New Roman"/>
                <w:sz w:val="22"/>
                <w:szCs w:val="22"/>
                <w:lang w:val="en-US"/>
              </w:rPr>
            </w:pPr>
            <w:r>
              <w:rPr>
                <w:rFonts w:ascii="Calibri" w:hAnsi="Calibri" w:cs="Times New Roman"/>
                <w:sz w:val="22"/>
                <w:szCs w:val="22"/>
                <w:lang w:val="en-US"/>
              </w:rPr>
              <w:t>6 (3 with women, 3 with men)</w:t>
            </w:r>
          </w:p>
        </w:tc>
        <w:tc>
          <w:tcPr>
            <w:tcW w:w="3469" w:type="dxa"/>
          </w:tcPr>
          <w:p w14:paraId="6EFF045A" w14:textId="55D7B71D" w:rsidR="00AD1E81" w:rsidRDefault="00AD1E81" w:rsidP="0030420B">
            <w:pPr>
              <w:rPr>
                <w:rFonts w:ascii="Calibri" w:hAnsi="Calibri" w:cs="Times New Roman"/>
                <w:sz w:val="22"/>
                <w:szCs w:val="22"/>
                <w:lang w:val="en-US"/>
              </w:rPr>
            </w:pPr>
            <w:r>
              <w:rPr>
                <w:rFonts w:ascii="Calibri" w:hAnsi="Calibri" w:cs="Times New Roman"/>
                <w:sz w:val="22"/>
                <w:szCs w:val="22"/>
                <w:lang w:val="en-US"/>
              </w:rPr>
              <w:t xml:space="preserve">In total, 3 FGDs will be held with legal rights training participants in each province. </w:t>
            </w:r>
          </w:p>
        </w:tc>
      </w:tr>
      <w:tr w:rsidR="00AD1E81" w14:paraId="161D42A7" w14:textId="4856DFD0" w:rsidTr="00AD1E81">
        <w:tc>
          <w:tcPr>
            <w:tcW w:w="2434" w:type="dxa"/>
          </w:tcPr>
          <w:p w14:paraId="69729B97" w14:textId="77777777" w:rsidR="00AD1E81" w:rsidRDefault="00AD1E81" w:rsidP="0030420B">
            <w:pPr>
              <w:rPr>
                <w:rFonts w:ascii="Calibri" w:hAnsi="Calibri" w:cs="Times New Roman"/>
                <w:sz w:val="22"/>
                <w:szCs w:val="22"/>
                <w:lang w:val="en-US"/>
              </w:rPr>
            </w:pPr>
            <w:r>
              <w:rPr>
                <w:rFonts w:ascii="Calibri" w:hAnsi="Calibri" w:cs="Times New Roman"/>
                <w:sz w:val="22"/>
                <w:szCs w:val="22"/>
                <w:lang w:val="en-US"/>
              </w:rPr>
              <w:t>Vocational trainings</w:t>
            </w:r>
          </w:p>
          <w:p w14:paraId="2DC48386" w14:textId="71632FE1" w:rsidR="004002C6" w:rsidRDefault="004002C6" w:rsidP="0030420B">
            <w:pPr>
              <w:rPr>
                <w:rFonts w:ascii="Calibri" w:hAnsi="Calibri" w:cs="Times New Roman"/>
                <w:sz w:val="22"/>
                <w:szCs w:val="22"/>
                <w:lang w:val="en-US"/>
              </w:rPr>
            </w:pPr>
            <w:r>
              <w:rPr>
                <w:rFonts w:ascii="Calibri" w:hAnsi="Calibri" w:cs="Times New Roman"/>
                <w:sz w:val="22"/>
                <w:szCs w:val="22"/>
                <w:lang w:val="en-US"/>
              </w:rPr>
              <w:t>(Pillar 1)</w:t>
            </w:r>
          </w:p>
        </w:tc>
        <w:tc>
          <w:tcPr>
            <w:tcW w:w="1881" w:type="dxa"/>
          </w:tcPr>
          <w:p w14:paraId="66F668BF" w14:textId="2F2D87B3" w:rsidR="00AD1E81" w:rsidRDefault="00AD1E81" w:rsidP="0030420B">
            <w:pPr>
              <w:rPr>
                <w:rFonts w:ascii="Calibri" w:hAnsi="Calibri" w:cs="Times New Roman"/>
                <w:sz w:val="22"/>
                <w:szCs w:val="22"/>
                <w:lang w:val="en-US"/>
              </w:rPr>
            </w:pPr>
            <w:r>
              <w:rPr>
                <w:rFonts w:ascii="Calibri" w:hAnsi="Calibri" w:cs="Times New Roman"/>
                <w:sz w:val="22"/>
                <w:szCs w:val="22"/>
                <w:lang w:val="en-US"/>
              </w:rPr>
              <w:t>Focus groups with participants</w:t>
            </w:r>
          </w:p>
        </w:tc>
        <w:tc>
          <w:tcPr>
            <w:tcW w:w="1350" w:type="dxa"/>
          </w:tcPr>
          <w:p w14:paraId="7BDC8C0B" w14:textId="3268E3AA" w:rsidR="00AD1E81" w:rsidRDefault="00AD1E81" w:rsidP="0030420B">
            <w:pPr>
              <w:rPr>
                <w:rFonts w:ascii="Calibri" w:hAnsi="Calibri" w:cs="Times New Roman"/>
                <w:sz w:val="22"/>
                <w:szCs w:val="22"/>
                <w:lang w:val="en-US"/>
              </w:rPr>
            </w:pPr>
            <w:r>
              <w:rPr>
                <w:rFonts w:ascii="Calibri" w:hAnsi="Calibri" w:cs="Times New Roman"/>
                <w:sz w:val="22"/>
                <w:szCs w:val="22"/>
                <w:lang w:val="en-US"/>
              </w:rPr>
              <w:t>6</w:t>
            </w:r>
          </w:p>
        </w:tc>
        <w:tc>
          <w:tcPr>
            <w:tcW w:w="3469" w:type="dxa"/>
          </w:tcPr>
          <w:p w14:paraId="47D516CA" w14:textId="4A7A70C8" w:rsidR="00AD1E81" w:rsidRDefault="00AD1E81" w:rsidP="000443C3">
            <w:pPr>
              <w:rPr>
                <w:rFonts w:ascii="Calibri" w:hAnsi="Calibri" w:cs="Times New Roman"/>
                <w:sz w:val="22"/>
                <w:szCs w:val="22"/>
                <w:lang w:val="en-US"/>
              </w:rPr>
            </w:pPr>
            <w:r>
              <w:rPr>
                <w:rFonts w:ascii="Calibri" w:hAnsi="Calibri" w:cs="Times New Roman"/>
                <w:sz w:val="22"/>
                <w:szCs w:val="22"/>
                <w:lang w:val="en-US"/>
              </w:rPr>
              <w:t xml:space="preserve">One focus group will be held with some of the vocational training participants </w:t>
            </w:r>
            <w:r w:rsidR="000443C3">
              <w:rPr>
                <w:rFonts w:ascii="Calibri" w:hAnsi="Calibri" w:cs="Times New Roman"/>
                <w:sz w:val="22"/>
                <w:szCs w:val="22"/>
                <w:lang w:val="en-US"/>
              </w:rPr>
              <w:t>who completed the course</w:t>
            </w:r>
            <w:r>
              <w:rPr>
                <w:rFonts w:ascii="Calibri" w:hAnsi="Calibri" w:cs="Times New Roman"/>
                <w:sz w:val="22"/>
                <w:szCs w:val="22"/>
                <w:lang w:val="en-US"/>
              </w:rPr>
              <w:t xml:space="preserve">. </w:t>
            </w:r>
          </w:p>
        </w:tc>
      </w:tr>
      <w:tr w:rsidR="00AD1E81" w14:paraId="25A4E110" w14:textId="54D81042" w:rsidTr="00AD1E81">
        <w:tc>
          <w:tcPr>
            <w:tcW w:w="2434" w:type="dxa"/>
          </w:tcPr>
          <w:p w14:paraId="3AD25DB7" w14:textId="77777777" w:rsidR="00AD1E81" w:rsidRDefault="00AD1E81" w:rsidP="0030420B">
            <w:pPr>
              <w:rPr>
                <w:rFonts w:ascii="Calibri" w:hAnsi="Calibri" w:cs="Times New Roman"/>
                <w:sz w:val="22"/>
                <w:szCs w:val="22"/>
                <w:lang w:val="en-US"/>
              </w:rPr>
            </w:pPr>
            <w:r>
              <w:rPr>
                <w:rFonts w:ascii="Calibri" w:hAnsi="Calibri" w:cs="Times New Roman"/>
                <w:sz w:val="22"/>
                <w:szCs w:val="22"/>
                <w:lang w:val="en-US"/>
              </w:rPr>
              <w:t xml:space="preserve">Consultation </w:t>
            </w:r>
            <w:proofErr w:type="spellStart"/>
            <w:r>
              <w:rPr>
                <w:rFonts w:ascii="Calibri" w:hAnsi="Calibri" w:cs="Times New Roman"/>
                <w:sz w:val="22"/>
                <w:szCs w:val="22"/>
                <w:lang w:val="en-US"/>
              </w:rPr>
              <w:t>centres</w:t>
            </w:r>
            <w:proofErr w:type="spellEnd"/>
            <w:r>
              <w:rPr>
                <w:rFonts w:ascii="Calibri" w:hAnsi="Calibri" w:cs="Times New Roman"/>
                <w:sz w:val="22"/>
                <w:szCs w:val="22"/>
                <w:lang w:val="en-US"/>
              </w:rPr>
              <w:t xml:space="preserve"> for survivors of violence</w:t>
            </w:r>
          </w:p>
          <w:p w14:paraId="47747156" w14:textId="7E3ABF4A" w:rsidR="004002C6" w:rsidRDefault="004002C6" w:rsidP="0030420B">
            <w:pPr>
              <w:rPr>
                <w:rFonts w:ascii="Calibri" w:hAnsi="Calibri" w:cs="Times New Roman"/>
                <w:sz w:val="22"/>
                <w:szCs w:val="22"/>
                <w:lang w:val="en-US"/>
              </w:rPr>
            </w:pPr>
            <w:r>
              <w:rPr>
                <w:rFonts w:ascii="Calibri" w:hAnsi="Calibri" w:cs="Times New Roman"/>
                <w:sz w:val="22"/>
                <w:szCs w:val="22"/>
                <w:lang w:val="en-US"/>
              </w:rPr>
              <w:t>(Pillar 1)</w:t>
            </w:r>
          </w:p>
        </w:tc>
        <w:tc>
          <w:tcPr>
            <w:tcW w:w="1881" w:type="dxa"/>
          </w:tcPr>
          <w:p w14:paraId="592CC596" w14:textId="03471AFA" w:rsidR="00AD1E81" w:rsidRDefault="00AD1E81" w:rsidP="0030420B">
            <w:pPr>
              <w:rPr>
                <w:rFonts w:ascii="Calibri" w:hAnsi="Calibri" w:cs="Times New Roman"/>
                <w:sz w:val="22"/>
                <w:szCs w:val="22"/>
                <w:lang w:val="en-US"/>
              </w:rPr>
            </w:pPr>
            <w:r>
              <w:rPr>
                <w:rFonts w:ascii="Calibri" w:hAnsi="Calibri" w:cs="Times New Roman"/>
                <w:sz w:val="22"/>
                <w:szCs w:val="22"/>
                <w:lang w:val="en-US"/>
              </w:rPr>
              <w:t>Interviews with legal counsels</w:t>
            </w:r>
          </w:p>
        </w:tc>
        <w:tc>
          <w:tcPr>
            <w:tcW w:w="1350" w:type="dxa"/>
          </w:tcPr>
          <w:p w14:paraId="22D018DE" w14:textId="0FCFC388" w:rsidR="00AD1E81" w:rsidRDefault="00AD1E81" w:rsidP="0030420B">
            <w:pPr>
              <w:rPr>
                <w:rFonts w:ascii="Calibri" w:hAnsi="Calibri" w:cs="Times New Roman"/>
                <w:sz w:val="22"/>
                <w:szCs w:val="22"/>
                <w:lang w:val="en-US"/>
              </w:rPr>
            </w:pPr>
            <w:r>
              <w:rPr>
                <w:rFonts w:ascii="Calibri" w:hAnsi="Calibri" w:cs="Times New Roman"/>
                <w:sz w:val="22"/>
                <w:szCs w:val="22"/>
                <w:lang w:val="en-US"/>
              </w:rPr>
              <w:t>6</w:t>
            </w:r>
          </w:p>
        </w:tc>
        <w:tc>
          <w:tcPr>
            <w:tcW w:w="3469" w:type="dxa"/>
          </w:tcPr>
          <w:p w14:paraId="7FF49BC0" w14:textId="18580B41" w:rsidR="00AD1E81" w:rsidRDefault="000443C3" w:rsidP="0030420B">
            <w:pPr>
              <w:rPr>
                <w:rFonts w:ascii="Calibri" w:hAnsi="Calibri" w:cs="Times New Roman"/>
                <w:sz w:val="22"/>
                <w:szCs w:val="22"/>
                <w:lang w:val="en-US"/>
              </w:rPr>
            </w:pPr>
            <w:r>
              <w:rPr>
                <w:rFonts w:ascii="Calibri" w:hAnsi="Calibri" w:cs="Times New Roman"/>
                <w:sz w:val="22"/>
                <w:szCs w:val="22"/>
                <w:lang w:val="en-US"/>
              </w:rPr>
              <w:t xml:space="preserve">One legal counsel/lawyer who works directly with clients of the consultation </w:t>
            </w:r>
            <w:proofErr w:type="spellStart"/>
            <w:r>
              <w:rPr>
                <w:rFonts w:ascii="Calibri" w:hAnsi="Calibri" w:cs="Times New Roman"/>
                <w:sz w:val="22"/>
                <w:szCs w:val="22"/>
                <w:lang w:val="en-US"/>
              </w:rPr>
              <w:t>centres</w:t>
            </w:r>
            <w:proofErr w:type="spellEnd"/>
            <w:r>
              <w:rPr>
                <w:rFonts w:ascii="Calibri" w:hAnsi="Calibri" w:cs="Times New Roman"/>
                <w:sz w:val="22"/>
                <w:szCs w:val="22"/>
                <w:lang w:val="en-US"/>
              </w:rPr>
              <w:t xml:space="preserve"> will be interviewed.</w:t>
            </w:r>
          </w:p>
        </w:tc>
      </w:tr>
      <w:tr w:rsidR="00AD1E81" w14:paraId="2FEE2310" w14:textId="6608048A" w:rsidTr="00AD1E81">
        <w:tc>
          <w:tcPr>
            <w:tcW w:w="2434" w:type="dxa"/>
          </w:tcPr>
          <w:p w14:paraId="64512E59" w14:textId="66AE296C" w:rsidR="00AD1E81" w:rsidRDefault="00AD1E81" w:rsidP="0030420B">
            <w:pPr>
              <w:rPr>
                <w:rFonts w:ascii="Calibri" w:hAnsi="Calibri" w:cs="Times New Roman"/>
                <w:sz w:val="22"/>
                <w:szCs w:val="22"/>
                <w:lang w:val="en-US"/>
              </w:rPr>
            </w:pPr>
            <w:r>
              <w:rPr>
                <w:rFonts w:ascii="Calibri" w:hAnsi="Calibri" w:cs="Times New Roman"/>
                <w:sz w:val="22"/>
                <w:szCs w:val="22"/>
                <w:lang w:val="en-US"/>
              </w:rPr>
              <w:lastRenderedPageBreak/>
              <w:t>Capacity-building and networking activities with CSOs</w:t>
            </w:r>
            <w:r w:rsidR="004002C6">
              <w:rPr>
                <w:rFonts w:ascii="Calibri" w:hAnsi="Calibri" w:cs="Times New Roman"/>
                <w:sz w:val="22"/>
                <w:szCs w:val="22"/>
                <w:lang w:val="en-US"/>
              </w:rPr>
              <w:t xml:space="preserve"> (Pillar 2)</w:t>
            </w:r>
          </w:p>
        </w:tc>
        <w:tc>
          <w:tcPr>
            <w:tcW w:w="1881" w:type="dxa"/>
          </w:tcPr>
          <w:p w14:paraId="196C05F1" w14:textId="2C5D67A0" w:rsidR="00AD1E81" w:rsidRDefault="00AD1E81" w:rsidP="0030420B">
            <w:pPr>
              <w:rPr>
                <w:rFonts w:ascii="Calibri" w:hAnsi="Calibri" w:cs="Times New Roman"/>
                <w:sz w:val="22"/>
                <w:szCs w:val="22"/>
                <w:lang w:val="en-US"/>
              </w:rPr>
            </w:pPr>
            <w:r>
              <w:rPr>
                <w:rFonts w:ascii="Calibri" w:hAnsi="Calibri" w:cs="Times New Roman"/>
                <w:sz w:val="22"/>
                <w:szCs w:val="22"/>
                <w:lang w:val="en-US"/>
              </w:rPr>
              <w:t>Focus groups with CSO representatives</w:t>
            </w:r>
          </w:p>
        </w:tc>
        <w:tc>
          <w:tcPr>
            <w:tcW w:w="1350" w:type="dxa"/>
          </w:tcPr>
          <w:p w14:paraId="602CC0D2" w14:textId="165D2471" w:rsidR="00AD1E81" w:rsidRDefault="00AD1E81" w:rsidP="0030420B">
            <w:pPr>
              <w:rPr>
                <w:rFonts w:ascii="Calibri" w:hAnsi="Calibri" w:cs="Times New Roman"/>
                <w:sz w:val="22"/>
                <w:szCs w:val="22"/>
                <w:lang w:val="en-US"/>
              </w:rPr>
            </w:pPr>
            <w:r>
              <w:rPr>
                <w:rFonts w:ascii="Calibri" w:hAnsi="Calibri" w:cs="Times New Roman"/>
                <w:sz w:val="22"/>
                <w:szCs w:val="22"/>
                <w:lang w:val="en-US"/>
              </w:rPr>
              <w:t>6</w:t>
            </w:r>
          </w:p>
        </w:tc>
        <w:tc>
          <w:tcPr>
            <w:tcW w:w="3469" w:type="dxa"/>
          </w:tcPr>
          <w:p w14:paraId="5CA322A2" w14:textId="6B6658F9" w:rsidR="00AD1E81" w:rsidRDefault="000443C3" w:rsidP="0030420B">
            <w:pPr>
              <w:rPr>
                <w:rFonts w:ascii="Calibri" w:hAnsi="Calibri" w:cs="Times New Roman"/>
                <w:sz w:val="22"/>
                <w:szCs w:val="22"/>
                <w:lang w:val="en-US"/>
              </w:rPr>
            </w:pPr>
            <w:r>
              <w:rPr>
                <w:rFonts w:ascii="Calibri" w:hAnsi="Calibri" w:cs="Times New Roman"/>
                <w:sz w:val="22"/>
                <w:szCs w:val="22"/>
                <w:lang w:val="en-US"/>
              </w:rPr>
              <w:t xml:space="preserve">Three FGDs in each province with CSOs and CBOs participating in the AC project activities. </w:t>
            </w:r>
          </w:p>
        </w:tc>
      </w:tr>
    </w:tbl>
    <w:p w14:paraId="75FC14F6" w14:textId="06319736" w:rsidR="0030420B" w:rsidRDefault="0030420B" w:rsidP="00E23AB9">
      <w:pPr>
        <w:rPr>
          <w:rFonts w:ascii="Calibri" w:hAnsi="Calibri" w:cs="Times New Roman"/>
          <w:sz w:val="22"/>
          <w:szCs w:val="22"/>
          <w:lang w:val="en-US"/>
        </w:rPr>
      </w:pPr>
    </w:p>
    <w:p w14:paraId="3782B8AD" w14:textId="533772E5" w:rsidR="00AD1E81" w:rsidRDefault="00AD1E81" w:rsidP="00E23AB9">
      <w:pPr>
        <w:rPr>
          <w:rFonts w:ascii="Calibri" w:hAnsi="Calibri" w:cs="Times New Roman"/>
          <w:sz w:val="22"/>
          <w:szCs w:val="22"/>
          <w:lang w:val="en-US"/>
        </w:rPr>
      </w:pPr>
      <w:r>
        <w:rPr>
          <w:rFonts w:ascii="Calibri" w:hAnsi="Calibri" w:cs="Times New Roman"/>
          <w:sz w:val="22"/>
          <w:szCs w:val="22"/>
          <w:lang w:val="en-US"/>
        </w:rPr>
        <w:t xml:space="preserve">In addition to the data sources listed in the table, there will be some minor document review of secondary data associated with some of these activities. </w:t>
      </w:r>
    </w:p>
    <w:p w14:paraId="4A756A3E" w14:textId="6D382B9D" w:rsidR="00C1162C" w:rsidRPr="00C1162C" w:rsidRDefault="00C1162C" w:rsidP="0069509D">
      <w:pPr>
        <w:spacing w:after="160" w:line="259" w:lineRule="auto"/>
        <w:contextualSpacing/>
        <w:rPr>
          <w:rFonts w:ascii="Calibri" w:eastAsia="Calibri" w:hAnsi="Calibri"/>
          <w:sz w:val="22"/>
          <w:szCs w:val="22"/>
          <w:lang w:val="en-US"/>
        </w:rPr>
      </w:pPr>
    </w:p>
    <w:p w14:paraId="15799A9A" w14:textId="242709EE" w:rsidR="00C1162C" w:rsidRPr="006F1462" w:rsidRDefault="00C1162C" w:rsidP="00EB713C">
      <w:pPr>
        <w:pStyle w:val="Heading1"/>
        <w:rPr>
          <w:rFonts w:eastAsia="Calibri"/>
          <w:lang w:val="en-US"/>
        </w:rPr>
      </w:pPr>
      <w:r w:rsidRPr="006F1462">
        <w:rPr>
          <w:rFonts w:eastAsia="Calibri"/>
          <w:lang w:val="en-US"/>
        </w:rPr>
        <w:t>Time frame</w:t>
      </w:r>
    </w:p>
    <w:p w14:paraId="752CC3C2" w14:textId="20AF254D" w:rsidR="00C1162C" w:rsidRPr="006F1462" w:rsidRDefault="000F5651" w:rsidP="00C1162C">
      <w:pPr>
        <w:spacing w:after="160" w:line="259" w:lineRule="auto"/>
        <w:rPr>
          <w:rFonts w:ascii="Calibri" w:eastAsia="Calibri" w:hAnsi="Calibri" w:cs="Calibri"/>
          <w:sz w:val="22"/>
          <w:szCs w:val="22"/>
          <w:lang w:val="en-US"/>
        </w:rPr>
      </w:pPr>
      <w:r>
        <w:rPr>
          <w:rFonts w:ascii="Calibri" w:eastAsia="Calibri" w:hAnsi="Calibri" w:cs="Calibri"/>
          <w:sz w:val="22"/>
          <w:szCs w:val="22"/>
          <w:lang w:val="en-US"/>
        </w:rPr>
        <w:t>As indicated in the table below, the contract will begin on</w:t>
      </w:r>
      <w:r w:rsidR="00C1162C" w:rsidRPr="006F1462">
        <w:rPr>
          <w:rFonts w:ascii="Calibri" w:eastAsia="Calibri" w:hAnsi="Calibri" w:cs="Calibri"/>
          <w:sz w:val="22"/>
          <w:szCs w:val="22"/>
          <w:lang w:val="en-US"/>
        </w:rPr>
        <w:t xml:space="preserve"> </w:t>
      </w:r>
      <w:r w:rsidR="0069509D" w:rsidRPr="006F1462">
        <w:rPr>
          <w:rFonts w:ascii="Calibri" w:eastAsia="Calibri" w:hAnsi="Calibri" w:cs="Calibri"/>
          <w:sz w:val="22"/>
          <w:szCs w:val="22"/>
          <w:lang w:val="en-US"/>
        </w:rPr>
        <w:t>March</w:t>
      </w:r>
      <w:r>
        <w:rPr>
          <w:rFonts w:ascii="Calibri" w:eastAsia="Calibri" w:hAnsi="Calibri" w:cs="Calibri"/>
          <w:sz w:val="22"/>
          <w:szCs w:val="22"/>
          <w:lang w:val="en-US"/>
        </w:rPr>
        <w:t xml:space="preserve"> 2 and end on </w:t>
      </w:r>
      <w:r w:rsidR="006F1462" w:rsidRPr="006F1462">
        <w:rPr>
          <w:rFonts w:ascii="Calibri" w:eastAsia="Calibri" w:hAnsi="Calibri" w:cs="Calibri"/>
          <w:sz w:val="22"/>
          <w:szCs w:val="22"/>
          <w:lang w:val="en-US"/>
        </w:rPr>
        <w:t>Apr</w:t>
      </w:r>
      <w:r>
        <w:rPr>
          <w:rFonts w:ascii="Calibri" w:eastAsia="Calibri" w:hAnsi="Calibri" w:cs="Calibri"/>
          <w:sz w:val="22"/>
          <w:szCs w:val="22"/>
          <w:lang w:val="en-US"/>
        </w:rPr>
        <w:t xml:space="preserve">il </w:t>
      </w:r>
      <w:r w:rsidR="006F1462" w:rsidRPr="006F1462">
        <w:rPr>
          <w:rFonts w:ascii="Calibri" w:eastAsia="Calibri" w:hAnsi="Calibri" w:cs="Calibri"/>
          <w:sz w:val="22"/>
          <w:szCs w:val="22"/>
          <w:lang w:val="en-US"/>
        </w:rPr>
        <w:t>16</w:t>
      </w:r>
      <w:r>
        <w:rPr>
          <w:rFonts w:ascii="Calibri" w:eastAsia="Calibri" w:hAnsi="Calibri" w:cs="Calibri"/>
          <w:sz w:val="22"/>
          <w:szCs w:val="22"/>
          <w:lang w:val="en-US"/>
        </w:rPr>
        <w:t xml:space="preserve">, 2021. </w:t>
      </w:r>
    </w:p>
    <w:tbl>
      <w:tblPr>
        <w:tblStyle w:val="TableGrid"/>
        <w:tblW w:w="0" w:type="auto"/>
        <w:tblLook w:val="04A0" w:firstRow="1" w:lastRow="0" w:firstColumn="1" w:lastColumn="0" w:noHBand="0" w:noVBand="1"/>
      </w:tblPr>
      <w:tblGrid>
        <w:gridCol w:w="4225"/>
        <w:gridCol w:w="1980"/>
        <w:gridCol w:w="2520"/>
      </w:tblGrid>
      <w:tr w:rsidR="00DE769D" w:rsidRPr="006F1462" w14:paraId="582184C8" w14:textId="11C1A170" w:rsidTr="008C59E0">
        <w:tc>
          <w:tcPr>
            <w:tcW w:w="4225" w:type="dxa"/>
          </w:tcPr>
          <w:p w14:paraId="7A968FAD" w14:textId="530963E4" w:rsidR="00DE769D" w:rsidRPr="006F1462" w:rsidRDefault="00DE769D" w:rsidP="00C36902">
            <w:pPr>
              <w:jc w:val="lowKashida"/>
              <w:rPr>
                <w:rFonts w:ascii="Calibri" w:hAnsi="Calibri" w:cs="Calibri"/>
                <w:b/>
                <w:sz w:val="22"/>
                <w:szCs w:val="22"/>
              </w:rPr>
            </w:pPr>
            <w:r w:rsidRPr="006F1462">
              <w:rPr>
                <w:rFonts w:ascii="Calibri" w:hAnsi="Calibri" w:cs="Calibri"/>
                <w:b/>
                <w:sz w:val="22"/>
                <w:szCs w:val="22"/>
              </w:rPr>
              <w:t xml:space="preserve">What </w:t>
            </w:r>
          </w:p>
        </w:tc>
        <w:tc>
          <w:tcPr>
            <w:tcW w:w="1980" w:type="dxa"/>
          </w:tcPr>
          <w:p w14:paraId="7D12DFD2" w14:textId="536D337D" w:rsidR="00DE769D" w:rsidRPr="006F1462" w:rsidRDefault="00DE769D" w:rsidP="00C36902">
            <w:pPr>
              <w:jc w:val="lowKashida"/>
              <w:rPr>
                <w:rFonts w:ascii="Calibri" w:hAnsi="Calibri" w:cs="Calibri"/>
                <w:b/>
                <w:sz w:val="22"/>
                <w:szCs w:val="22"/>
              </w:rPr>
            </w:pPr>
            <w:r w:rsidRPr="006F1462">
              <w:rPr>
                <w:rFonts w:ascii="Calibri" w:hAnsi="Calibri" w:cs="Calibri"/>
                <w:b/>
                <w:sz w:val="22"/>
                <w:szCs w:val="22"/>
              </w:rPr>
              <w:t xml:space="preserve">Who </w:t>
            </w:r>
          </w:p>
        </w:tc>
        <w:tc>
          <w:tcPr>
            <w:tcW w:w="2520" w:type="dxa"/>
          </w:tcPr>
          <w:p w14:paraId="4C5B01C8" w14:textId="70308C8E" w:rsidR="00DE769D" w:rsidRPr="006F1462" w:rsidRDefault="00EB713C" w:rsidP="00C36902">
            <w:pPr>
              <w:jc w:val="lowKashida"/>
              <w:rPr>
                <w:rFonts w:ascii="Calibri" w:hAnsi="Calibri" w:cs="Calibri"/>
                <w:b/>
                <w:sz w:val="22"/>
                <w:szCs w:val="22"/>
              </w:rPr>
            </w:pPr>
            <w:r>
              <w:rPr>
                <w:rFonts w:ascii="Calibri" w:hAnsi="Calibri" w:cs="Calibri"/>
                <w:b/>
                <w:sz w:val="22"/>
                <w:szCs w:val="22"/>
              </w:rPr>
              <w:t>Deadline</w:t>
            </w:r>
          </w:p>
        </w:tc>
      </w:tr>
      <w:tr w:rsidR="006F1462" w:rsidRPr="006F1462" w14:paraId="0F944871" w14:textId="77777777" w:rsidTr="008C59E0">
        <w:trPr>
          <w:trHeight w:val="332"/>
        </w:trPr>
        <w:tc>
          <w:tcPr>
            <w:tcW w:w="4225" w:type="dxa"/>
          </w:tcPr>
          <w:p w14:paraId="73C402AE" w14:textId="6FDF933E" w:rsidR="006F1462" w:rsidRPr="006F1462" w:rsidRDefault="006F1462" w:rsidP="00DE769D">
            <w:pPr>
              <w:contextualSpacing/>
              <w:rPr>
                <w:rFonts w:ascii="Calibri" w:hAnsi="Calibri" w:cs="Calibri"/>
                <w:sz w:val="22"/>
                <w:szCs w:val="22"/>
              </w:rPr>
            </w:pPr>
            <w:r>
              <w:rPr>
                <w:rFonts w:ascii="Calibri" w:hAnsi="Calibri" w:cs="Calibri"/>
                <w:sz w:val="22"/>
                <w:szCs w:val="22"/>
              </w:rPr>
              <w:t>Deadline for proposals</w:t>
            </w:r>
          </w:p>
        </w:tc>
        <w:tc>
          <w:tcPr>
            <w:tcW w:w="1980" w:type="dxa"/>
          </w:tcPr>
          <w:p w14:paraId="41A7C9AB" w14:textId="148B01B0" w:rsidR="006F1462" w:rsidRPr="006F1462" w:rsidRDefault="006F1462" w:rsidP="00DE769D">
            <w:pPr>
              <w:rPr>
                <w:rFonts w:ascii="Calibri" w:hAnsi="Calibri" w:cs="Calibri"/>
                <w:sz w:val="22"/>
                <w:szCs w:val="22"/>
              </w:rPr>
            </w:pPr>
            <w:r>
              <w:rPr>
                <w:rFonts w:ascii="Calibri" w:hAnsi="Calibri" w:cs="Calibri"/>
                <w:sz w:val="22"/>
                <w:szCs w:val="22"/>
              </w:rPr>
              <w:t>Consultant</w:t>
            </w:r>
          </w:p>
        </w:tc>
        <w:tc>
          <w:tcPr>
            <w:tcW w:w="2520" w:type="dxa"/>
          </w:tcPr>
          <w:p w14:paraId="5CF073B8" w14:textId="2CBA4798" w:rsidR="006F1462" w:rsidRPr="006F1462" w:rsidRDefault="006F1462" w:rsidP="00DE769D">
            <w:pPr>
              <w:jc w:val="lowKashida"/>
              <w:rPr>
                <w:rFonts w:ascii="Calibri" w:hAnsi="Calibri" w:cs="Calibri"/>
                <w:sz w:val="22"/>
                <w:szCs w:val="22"/>
              </w:rPr>
            </w:pPr>
            <w:r>
              <w:rPr>
                <w:rFonts w:ascii="Calibri" w:hAnsi="Calibri" w:cs="Calibri"/>
                <w:sz w:val="22"/>
                <w:szCs w:val="22"/>
              </w:rPr>
              <w:t>February 6</w:t>
            </w:r>
            <w:r w:rsidRPr="00EB713C">
              <w:rPr>
                <w:rFonts w:ascii="Calibri" w:hAnsi="Calibri" w:cs="Calibri"/>
                <w:sz w:val="22"/>
                <w:szCs w:val="22"/>
                <w:vertAlign w:val="superscript"/>
              </w:rPr>
              <w:t>th</w:t>
            </w:r>
            <w:r w:rsidR="00EB713C">
              <w:rPr>
                <w:rFonts w:ascii="Calibri" w:hAnsi="Calibri" w:cs="Calibri"/>
                <w:sz w:val="22"/>
                <w:szCs w:val="22"/>
              </w:rPr>
              <w:t xml:space="preserve"> 2021</w:t>
            </w:r>
          </w:p>
        </w:tc>
      </w:tr>
      <w:tr w:rsidR="006F1462" w:rsidRPr="006F1462" w14:paraId="4B3C90F6" w14:textId="77777777" w:rsidTr="008C59E0">
        <w:trPr>
          <w:trHeight w:val="332"/>
        </w:trPr>
        <w:tc>
          <w:tcPr>
            <w:tcW w:w="4225" w:type="dxa"/>
          </w:tcPr>
          <w:p w14:paraId="185F6936" w14:textId="1E8BBDDF" w:rsidR="006F1462" w:rsidRDefault="006F1462" w:rsidP="00DE769D">
            <w:pPr>
              <w:contextualSpacing/>
              <w:rPr>
                <w:rFonts w:ascii="Calibri" w:hAnsi="Calibri" w:cs="Calibri"/>
                <w:sz w:val="22"/>
                <w:szCs w:val="22"/>
              </w:rPr>
            </w:pPr>
            <w:r>
              <w:rPr>
                <w:rFonts w:ascii="Calibri" w:hAnsi="Calibri" w:cs="Calibri"/>
                <w:sz w:val="22"/>
                <w:szCs w:val="22"/>
              </w:rPr>
              <w:t>Interviews with shortlisted candidates</w:t>
            </w:r>
          </w:p>
        </w:tc>
        <w:tc>
          <w:tcPr>
            <w:tcW w:w="1980" w:type="dxa"/>
          </w:tcPr>
          <w:p w14:paraId="1F5403CD" w14:textId="5B653D1D" w:rsidR="006F1462" w:rsidRDefault="00EB713C" w:rsidP="00DE769D">
            <w:pPr>
              <w:rPr>
                <w:rFonts w:ascii="Calibri" w:hAnsi="Calibri" w:cs="Calibri"/>
                <w:sz w:val="22"/>
                <w:szCs w:val="22"/>
              </w:rPr>
            </w:pPr>
            <w:r>
              <w:rPr>
                <w:rFonts w:ascii="Calibri" w:hAnsi="Calibri" w:cs="Calibri"/>
                <w:sz w:val="22"/>
                <w:szCs w:val="22"/>
              </w:rPr>
              <w:t>Consultant/OiA</w:t>
            </w:r>
          </w:p>
        </w:tc>
        <w:tc>
          <w:tcPr>
            <w:tcW w:w="2520" w:type="dxa"/>
          </w:tcPr>
          <w:p w14:paraId="75229860" w14:textId="1521BE1B" w:rsidR="006F1462" w:rsidRDefault="00EB713C" w:rsidP="00DE769D">
            <w:pPr>
              <w:jc w:val="lowKashida"/>
              <w:rPr>
                <w:rFonts w:ascii="Calibri" w:hAnsi="Calibri" w:cs="Calibri"/>
                <w:sz w:val="22"/>
                <w:szCs w:val="22"/>
              </w:rPr>
            </w:pPr>
            <w:r>
              <w:rPr>
                <w:rFonts w:ascii="Calibri" w:hAnsi="Calibri" w:cs="Calibri"/>
                <w:sz w:val="22"/>
                <w:szCs w:val="22"/>
              </w:rPr>
              <w:t>February 16-18</w:t>
            </w:r>
            <w:r w:rsidRPr="00EB713C">
              <w:rPr>
                <w:rFonts w:ascii="Calibri" w:hAnsi="Calibri" w:cs="Calibri"/>
                <w:sz w:val="22"/>
                <w:szCs w:val="22"/>
                <w:vertAlign w:val="superscript"/>
              </w:rPr>
              <w:t>th</w:t>
            </w:r>
            <w:r>
              <w:rPr>
                <w:rFonts w:ascii="Calibri" w:hAnsi="Calibri" w:cs="Calibri"/>
                <w:sz w:val="22"/>
                <w:szCs w:val="22"/>
              </w:rPr>
              <w:t xml:space="preserve"> 2021</w:t>
            </w:r>
          </w:p>
        </w:tc>
      </w:tr>
      <w:tr w:rsidR="00EB713C" w:rsidRPr="006F1462" w14:paraId="6DE2C78D" w14:textId="77777777" w:rsidTr="008C59E0">
        <w:trPr>
          <w:trHeight w:val="332"/>
        </w:trPr>
        <w:tc>
          <w:tcPr>
            <w:tcW w:w="4225" w:type="dxa"/>
          </w:tcPr>
          <w:p w14:paraId="0AC26AEA" w14:textId="0879EE24" w:rsidR="00EB713C" w:rsidRDefault="00EB713C" w:rsidP="00DE769D">
            <w:pPr>
              <w:contextualSpacing/>
              <w:rPr>
                <w:rFonts w:ascii="Calibri" w:hAnsi="Calibri" w:cs="Calibri"/>
                <w:sz w:val="22"/>
                <w:szCs w:val="22"/>
              </w:rPr>
            </w:pPr>
            <w:r>
              <w:rPr>
                <w:rFonts w:ascii="Calibri" w:hAnsi="Calibri" w:cs="Calibri"/>
                <w:sz w:val="22"/>
                <w:szCs w:val="22"/>
              </w:rPr>
              <w:t>Consultant selected</w:t>
            </w:r>
          </w:p>
        </w:tc>
        <w:tc>
          <w:tcPr>
            <w:tcW w:w="1980" w:type="dxa"/>
          </w:tcPr>
          <w:p w14:paraId="5F8C37DF" w14:textId="198FF0AE" w:rsidR="00EB713C" w:rsidRDefault="00EB713C" w:rsidP="00DE769D">
            <w:pPr>
              <w:rPr>
                <w:rFonts w:ascii="Calibri" w:hAnsi="Calibri" w:cs="Calibri"/>
                <w:sz w:val="22"/>
                <w:szCs w:val="22"/>
              </w:rPr>
            </w:pPr>
            <w:r>
              <w:rPr>
                <w:rFonts w:ascii="Calibri" w:hAnsi="Calibri" w:cs="Calibri"/>
                <w:sz w:val="22"/>
                <w:szCs w:val="22"/>
              </w:rPr>
              <w:t>OiA</w:t>
            </w:r>
          </w:p>
        </w:tc>
        <w:tc>
          <w:tcPr>
            <w:tcW w:w="2520" w:type="dxa"/>
          </w:tcPr>
          <w:p w14:paraId="21484DF1" w14:textId="6CF0CC9A" w:rsidR="00EB713C" w:rsidRDefault="00EB713C" w:rsidP="00DE769D">
            <w:pPr>
              <w:jc w:val="lowKashida"/>
              <w:rPr>
                <w:rFonts w:ascii="Calibri" w:hAnsi="Calibri" w:cs="Calibri"/>
                <w:sz w:val="22"/>
                <w:szCs w:val="22"/>
              </w:rPr>
            </w:pPr>
            <w:r>
              <w:rPr>
                <w:rFonts w:ascii="Calibri" w:hAnsi="Calibri" w:cs="Calibri"/>
                <w:sz w:val="22"/>
                <w:szCs w:val="22"/>
              </w:rPr>
              <w:t>February 21st 2021</w:t>
            </w:r>
          </w:p>
        </w:tc>
      </w:tr>
      <w:tr w:rsidR="00EB713C" w:rsidRPr="006F1462" w14:paraId="2251112D" w14:textId="77777777" w:rsidTr="008C59E0">
        <w:trPr>
          <w:trHeight w:val="332"/>
        </w:trPr>
        <w:tc>
          <w:tcPr>
            <w:tcW w:w="4225" w:type="dxa"/>
          </w:tcPr>
          <w:p w14:paraId="6C8A2056" w14:textId="01DFBBD2" w:rsidR="00EB713C" w:rsidRDefault="00EB713C" w:rsidP="00DE769D">
            <w:pPr>
              <w:contextualSpacing/>
              <w:rPr>
                <w:rFonts w:ascii="Calibri" w:hAnsi="Calibri" w:cs="Calibri"/>
                <w:sz w:val="22"/>
                <w:szCs w:val="22"/>
              </w:rPr>
            </w:pPr>
            <w:r>
              <w:rPr>
                <w:rFonts w:ascii="Calibri" w:hAnsi="Calibri" w:cs="Calibri"/>
                <w:sz w:val="22"/>
                <w:szCs w:val="22"/>
              </w:rPr>
              <w:t xml:space="preserve">Contract signed </w:t>
            </w:r>
          </w:p>
        </w:tc>
        <w:tc>
          <w:tcPr>
            <w:tcW w:w="1980" w:type="dxa"/>
          </w:tcPr>
          <w:p w14:paraId="0A0763FA" w14:textId="729E2C76" w:rsidR="00EB713C" w:rsidRDefault="00EB713C" w:rsidP="00DE769D">
            <w:pPr>
              <w:rPr>
                <w:rFonts w:ascii="Calibri" w:hAnsi="Calibri" w:cs="Calibri"/>
                <w:sz w:val="22"/>
                <w:szCs w:val="22"/>
              </w:rPr>
            </w:pPr>
            <w:r>
              <w:rPr>
                <w:rFonts w:ascii="Calibri" w:hAnsi="Calibri" w:cs="Calibri"/>
                <w:sz w:val="22"/>
                <w:szCs w:val="22"/>
              </w:rPr>
              <w:t>Consultant/OiA</w:t>
            </w:r>
          </w:p>
        </w:tc>
        <w:tc>
          <w:tcPr>
            <w:tcW w:w="2520" w:type="dxa"/>
          </w:tcPr>
          <w:p w14:paraId="5893347A" w14:textId="02B1D8A8" w:rsidR="00EB713C" w:rsidRDefault="00EB713C" w:rsidP="00DE769D">
            <w:pPr>
              <w:jc w:val="lowKashida"/>
              <w:rPr>
                <w:rFonts w:ascii="Calibri" w:hAnsi="Calibri" w:cs="Calibri"/>
                <w:sz w:val="22"/>
                <w:szCs w:val="22"/>
              </w:rPr>
            </w:pPr>
            <w:r>
              <w:rPr>
                <w:rFonts w:ascii="Calibri" w:hAnsi="Calibri" w:cs="Calibri"/>
                <w:sz w:val="22"/>
                <w:szCs w:val="22"/>
              </w:rPr>
              <w:t>March 2</w:t>
            </w:r>
            <w:r>
              <w:rPr>
                <w:rFonts w:ascii="Calibri" w:hAnsi="Calibri" w:cs="Calibri"/>
                <w:sz w:val="22"/>
                <w:szCs w:val="22"/>
                <w:vertAlign w:val="superscript"/>
              </w:rPr>
              <w:t>nd</w:t>
            </w:r>
            <w:r>
              <w:rPr>
                <w:rFonts w:ascii="Calibri" w:hAnsi="Calibri" w:cs="Calibri"/>
                <w:sz w:val="22"/>
                <w:szCs w:val="22"/>
              </w:rPr>
              <w:t xml:space="preserve"> 2021</w:t>
            </w:r>
          </w:p>
        </w:tc>
      </w:tr>
      <w:tr w:rsidR="00DE769D" w:rsidRPr="006F1462" w14:paraId="10D9106D" w14:textId="5A60230E" w:rsidTr="008C59E0">
        <w:trPr>
          <w:trHeight w:val="332"/>
        </w:trPr>
        <w:tc>
          <w:tcPr>
            <w:tcW w:w="4225" w:type="dxa"/>
          </w:tcPr>
          <w:p w14:paraId="436AB31E" w14:textId="1158D66E" w:rsidR="00DE769D" w:rsidRPr="006F1462" w:rsidRDefault="00DE769D" w:rsidP="00DE769D">
            <w:pPr>
              <w:contextualSpacing/>
              <w:rPr>
                <w:rFonts w:ascii="Calibri" w:hAnsi="Calibri" w:cs="Calibri"/>
                <w:sz w:val="22"/>
                <w:szCs w:val="22"/>
              </w:rPr>
            </w:pPr>
            <w:r w:rsidRPr="006F1462">
              <w:rPr>
                <w:rFonts w:ascii="Calibri" w:hAnsi="Calibri" w:cs="Calibri"/>
                <w:sz w:val="22"/>
                <w:szCs w:val="22"/>
              </w:rPr>
              <w:t xml:space="preserve">Draft report submitted by the Consultancy </w:t>
            </w:r>
          </w:p>
        </w:tc>
        <w:tc>
          <w:tcPr>
            <w:tcW w:w="1980" w:type="dxa"/>
          </w:tcPr>
          <w:p w14:paraId="444E7486" w14:textId="6CF20DB6" w:rsidR="00DE769D" w:rsidRPr="006F1462" w:rsidRDefault="00DE769D" w:rsidP="00DE769D">
            <w:pPr>
              <w:rPr>
                <w:rFonts w:ascii="Calibri" w:hAnsi="Calibri" w:cs="Calibri"/>
                <w:b/>
                <w:sz w:val="22"/>
                <w:szCs w:val="22"/>
              </w:rPr>
            </w:pPr>
            <w:r w:rsidRPr="006F1462">
              <w:rPr>
                <w:rFonts w:ascii="Calibri" w:hAnsi="Calibri" w:cs="Calibri"/>
                <w:sz w:val="22"/>
                <w:szCs w:val="22"/>
              </w:rPr>
              <w:t xml:space="preserve">Consultant </w:t>
            </w:r>
          </w:p>
        </w:tc>
        <w:tc>
          <w:tcPr>
            <w:tcW w:w="2520" w:type="dxa"/>
          </w:tcPr>
          <w:p w14:paraId="352DC247" w14:textId="2844C13C" w:rsidR="00DE769D" w:rsidRPr="006F1462" w:rsidRDefault="006F1462" w:rsidP="00DE769D">
            <w:pPr>
              <w:jc w:val="lowKashida"/>
              <w:rPr>
                <w:rFonts w:ascii="Calibri" w:hAnsi="Calibri" w:cs="Calibri"/>
                <w:sz w:val="22"/>
                <w:szCs w:val="22"/>
              </w:rPr>
            </w:pPr>
            <w:r w:rsidRPr="006F1462">
              <w:rPr>
                <w:rFonts w:ascii="Calibri" w:hAnsi="Calibri" w:cs="Calibri"/>
                <w:sz w:val="22"/>
                <w:szCs w:val="22"/>
              </w:rPr>
              <w:t xml:space="preserve">March </w:t>
            </w:r>
            <w:r w:rsidR="000F5651">
              <w:rPr>
                <w:rFonts w:ascii="Calibri" w:hAnsi="Calibri" w:cs="Calibri"/>
                <w:sz w:val="22"/>
                <w:szCs w:val="22"/>
              </w:rPr>
              <w:t>31</w:t>
            </w:r>
            <w:r w:rsidR="000F5651">
              <w:rPr>
                <w:rFonts w:ascii="Calibri" w:hAnsi="Calibri" w:cs="Calibri"/>
                <w:sz w:val="22"/>
                <w:szCs w:val="22"/>
                <w:vertAlign w:val="superscript"/>
              </w:rPr>
              <w:t>st</w:t>
            </w:r>
            <w:r w:rsidR="00DE769D" w:rsidRPr="006F1462">
              <w:rPr>
                <w:rFonts w:ascii="Calibri" w:hAnsi="Calibri" w:cs="Calibri"/>
                <w:sz w:val="22"/>
                <w:szCs w:val="22"/>
              </w:rPr>
              <w:t xml:space="preserve"> </w:t>
            </w:r>
            <w:r w:rsidR="00EB713C">
              <w:rPr>
                <w:rFonts w:ascii="Calibri" w:hAnsi="Calibri" w:cs="Calibri"/>
                <w:sz w:val="22"/>
                <w:szCs w:val="22"/>
              </w:rPr>
              <w:t>2021</w:t>
            </w:r>
          </w:p>
        </w:tc>
      </w:tr>
      <w:tr w:rsidR="00DE769D" w:rsidRPr="006F1462" w14:paraId="6428BA98" w14:textId="3782F0BD" w:rsidTr="008C59E0">
        <w:trPr>
          <w:trHeight w:val="350"/>
        </w:trPr>
        <w:tc>
          <w:tcPr>
            <w:tcW w:w="4225" w:type="dxa"/>
          </w:tcPr>
          <w:p w14:paraId="7257CD9B" w14:textId="1D04F9ED" w:rsidR="00DE769D" w:rsidRPr="006F1462" w:rsidRDefault="00DE769D" w:rsidP="00DE769D">
            <w:pPr>
              <w:contextualSpacing/>
              <w:rPr>
                <w:rFonts w:ascii="Calibri" w:hAnsi="Calibri" w:cs="Calibri"/>
                <w:sz w:val="22"/>
                <w:szCs w:val="22"/>
              </w:rPr>
            </w:pPr>
            <w:r w:rsidRPr="006F1462">
              <w:rPr>
                <w:rFonts w:ascii="Calibri" w:hAnsi="Calibri" w:cs="Calibri"/>
                <w:sz w:val="22"/>
                <w:szCs w:val="22"/>
              </w:rPr>
              <w:t>Give consultant feedback on report</w:t>
            </w:r>
          </w:p>
        </w:tc>
        <w:tc>
          <w:tcPr>
            <w:tcW w:w="1980" w:type="dxa"/>
          </w:tcPr>
          <w:p w14:paraId="2D77B35D" w14:textId="62F4C7D8" w:rsidR="00DE769D" w:rsidRPr="006F1462" w:rsidRDefault="00DE769D" w:rsidP="00DE769D">
            <w:pPr>
              <w:rPr>
                <w:rFonts w:ascii="Calibri" w:hAnsi="Calibri" w:cs="Calibri"/>
                <w:sz w:val="22"/>
                <w:szCs w:val="22"/>
              </w:rPr>
            </w:pPr>
            <w:r w:rsidRPr="006F1462">
              <w:rPr>
                <w:rFonts w:ascii="Calibri" w:hAnsi="Calibri" w:cs="Calibri"/>
                <w:sz w:val="22"/>
                <w:szCs w:val="22"/>
              </w:rPr>
              <w:t>OiA/OCA</w:t>
            </w:r>
          </w:p>
        </w:tc>
        <w:tc>
          <w:tcPr>
            <w:tcW w:w="2520" w:type="dxa"/>
          </w:tcPr>
          <w:p w14:paraId="355A5F6C" w14:textId="2222A559" w:rsidR="00DE769D" w:rsidRPr="006F1462" w:rsidRDefault="006F1462" w:rsidP="00DE769D">
            <w:pPr>
              <w:jc w:val="lowKashida"/>
              <w:rPr>
                <w:rFonts w:ascii="Calibri" w:hAnsi="Calibri" w:cs="Calibri"/>
                <w:sz w:val="22"/>
                <w:szCs w:val="22"/>
              </w:rPr>
            </w:pPr>
            <w:r w:rsidRPr="006F1462">
              <w:rPr>
                <w:rFonts w:ascii="Calibri" w:hAnsi="Calibri" w:cs="Calibri"/>
                <w:sz w:val="22"/>
                <w:szCs w:val="22"/>
              </w:rPr>
              <w:t xml:space="preserve">April </w:t>
            </w:r>
            <w:r w:rsidR="000F5651">
              <w:rPr>
                <w:rFonts w:ascii="Calibri" w:hAnsi="Calibri" w:cs="Calibri"/>
                <w:sz w:val="22"/>
                <w:szCs w:val="22"/>
              </w:rPr>
              <w:t>8</w:t>
            </w:r>
            <w:r w:rsidRPr="006F1462">
              <w:rPr>
                <w:rFonts w:ascii="Calibri" w:hAnsi="Calibri" w:cs="Calibri"/>
                <w:sz w:val="22"/>
                <w:szCs w:val="22"/>
                <w:vertAlign w:val="superscript"/>
              </w:rPr>
              <w:t>th</w:t>
            </w:r>
            <w:r w:rsidRPr="006F1462">
              <w:rPr>
                <w:rFonts w:ascii="Calibri" w:hAnsi="Calibri" w:cs="Calibri"/>
                <w:sz w:val="22"/>
                <w:szCs w:val="22"/>
              </w:rPr>
              <w:t xml:space="preserve"> </w:t>
            </w:r>
            <w:r w:rsidR="00EB713C">
              <w:rPr>
                <w:rFonts w:ascii="Calibri" w:hAnsi="Calibri" w:cs="Calibri"/>
                <w:sz w:val="22"/>
                <w:szCs w:val="22"/>
              </w:rPr>
              <w:t>2021</w:t>
            </w:r>
          </w:p>
        </w:tc>
      </w:tr>
      <w:tr w:rsidR="00DE769D" w:rsidRPr="006F1462" w14:paraId="5832331C" w14:textId="670B8720" w:rsidTr="008C59E0">
        <w:trPr>
          <w:trHeight w:val="368"/>
        </w:trPr>
        <w:tc>
          <w:tcPr>
            <w:tcW w:w="4225" w:type="dxa"/>
          </w:tcPr>
          <w:p w14:paraId="098B41D3" w14:textId="63A3A5FF" w:rsidR="00DE769D" w:rsidRPr="006F1462" w:rsidRDefault="00DE769D" w:rsidP="00DE769D">
            <w:pPr>
              <w:contextualSpacing/>
              <w:rPr>
                <w:rFonts w:ascii="Calibri" w:hAnsi="Calibri" w:cs="Calibri"/>
                <w:sz w:val="22"/>
                <w:szCs w:val="22"/>
              </w:rPr>
            </w:pPr>
            <w:r w:rsidRPr="006F1462">
              <w:rPr>
                <w:rFonts w:ascii="Calibri" w:hAnsi="Calibri" w:cs="Calibri"/>
                <w:sz w:val="22"/>
                <w:szCs w:val="22"/>
              </w:rPr>
              <w:t xml:space="preserve">Submit final report </w:t>
            </w:r>
          </w:p>
        </w:tc>
        <w:tc>
          <w:tcPr>
            <w:tcW w:w="1980" w:type="dxa"/>
          </w:tcPr>
          <w:p w14:paraId="3E68DEA5" w14:textId="1824237F" w:rsidR="00DE769D" w:rsidRPr="006F1462" w:rsidRDefault="00DE769D" w:rsidP="00DE769D">
            <w:pPr>
              <w:rPr>
                <w:rFonts w:ascii="Calibri" w:hAnsi="Calibri" w:cs="Calibri"/>
                <w:sz w:val="22"/>
                <w:szCs w:val="22"/>
              </w:rPr>
            </w:pPr>
            <w:r w:rsidRPr="006F1462">
              <w:rPr>
                <w:rFonts w:ascii="Calibri" w:hAnsi="Calibri" w:cs="Calibri"/>
                <w:sz w:val="22"/>
                <w:szCs w:val="22"/>
              </w:rPr>
              <w:t xml:space="preserve">Consultant </w:t>
            </w:r>
          </w:p>
        </w:tc>
        <w:tc>
          <w:tcPr>
            <w:tcW w:w="2520" w:type="dxa"/>
          </w:tcPr>
          <w:p w14:paraId="404BCF1C" w14:textId="1C96FEA0" w:rsidR="00DE769D" w:rsidRPr="006F1462" w:rsidRDefault="006F1462" w:rsidP="00DE769D">
            <w:pPr>
              <w:jc w:val="lowKashida"/>
              <w:rPr>
                <w:rFonts w:ascii="Calibri" w:hAnsi="Calibri" w:cs="Calibri"/>
                <w:sz w:val="22"/>
                <w:szCs w:val="22"/>
              </w:rPr>
            </w:pPr>
            <w:r w:rsidRPr="006F1462">
              <w:rPr>
                <w:rFonts w:ascii="Calibri" w:hAnsi="Calibri" w:cs="Calibri"/>
                <w:sz w:val="22"/>
                <w:szCs w:val="22"/>
              </w:rPr>
              <w:t>April 16</w:t>
            </w:r>
            <w:r w:rsidRPr="006F1462">
              <w:rPr>
                <w:rFonts w:ascii="Calibri" w:hAnsi="Calibri" w:cs="Calibri"/>
                <w:sz w:val="22"/>
                <w:szCs w:val="22"/>
                <w:vertAlign w:val="superscript"/>
              </w:rPr>
              <w:t>th</w:t>
            </w:r>
            <w:r w:rsidRPr="006F1462">
              <w:rPr>
                <w:rFonts w:ascii="Calibri" w:hAnsi="Calibri" w:cs="Calibri"/>
                <w:sz w:val="22"/>
                <w:szCs w:val="22"/>
              </w:rPr>
              <w:t xml:space="preserve"> </w:t>
            </w:r>
            <w:r w:rsidR="00EB713C">
              <w:rPr>
                <w:rFonts w:ascii="Calibri" w:hAnsi="Calibri" w:cs="Calibri"/>
                <w:sz w:val="22"/>
                <w:szCs w:val="22"/>
              </w:rPr>
              <w:t>2021</w:t>
            </w:r>
          </w:p>
        </w:tc>
      </w:tr>
    </w:tbl>
    <w:p w14:paraId="23A023E6" w14:textId="77777777" w:rsidR="00EB713C" w:rsidRDefault="00EB713C" w:rsidP="006F1462">
      <w:pPr>
        <w:spacing w:after="160" w:line="259" w:lineRule="auto"/>
        <w:rPr>
          <w:rFonts w:ascii="Calibri" w:eastAsia="Calibri" w:hAnsi="Calibri"/>
          <w:b/>
          <w:bCs/>
          <w:sz w:val="22"/>
          <w:szCs w:val="22"/>
          <w:lang w:val="en-US"/>
        </w:rPr>
      </w:pPr>
    </w:p>
    <w:p w14:paraId="725C4013" w14:textId="42111003" w:rsidR="006F1462" w:rsidRPr="00C1162C" w:rsidRDefault="006F1462" w:rsidP="00EB713C">
      <w:pPr>
        <w:pStyle w:val="Heading1"/>
        <w:rPr>
          <w:rFonts w:eastAsia="Calibri"/>
          <w:lang w:val="en-US"/>
        </w:rPr>
      </w:pPr>
      <w:r w:rsidRPr="00C1162C">
        <w:rPr>
          <w:rFonts w:eastAsia="Calibri"/>
          <w:lang w:val="en-US"/>
        </w:rPr>
        <w:t>Skill and requirements</w:t>
      </w:r>
    </w:p>
    <w:p w14:paraId="7DFDAA67" w14:textId="10CF729B" w:rsidR="00983F6E" w:rsidRPr="00983F6E" w:rsidRDefault="006F1462" w:rsidP="00983F6E">
      <w:pPr>
        <w:numPr>
          <w:ilvl w:val="0"/>
          <w:numId w:val="7"/>
        </w:numPr>
        <w:spacing w:after="160" w:line="259" w:lineRule="auto"/>
        <w:contextualSpacing/>
        <w:rPr>
          <w:rFonts w:ascii="Calibri" w:eastAsia="Calibri" w:hAnsi="Calibri"/>
          <w:sz w:val="22"/>
          <w:szCs w:val="22"/>
          <w:lang w:val="en-US"/>
        </w:rPr>
      </w:pPr>
      <w:r>
        <w:rPr>
          <w:rFonts w:ascii="Calibri" w:eastAsia="Calibri" w:hAnsi="Calibri"/>
          <w:sz w:val="22"/>
          <w:szCs w:val="22"/>
          <w:lang w:val="en-US"/>
        </w:rPr>
        <w:t>Demonstrated e</w:t>
      </w:r>
      <w:r w:rsidR="00983F6E">
        <w:rPr>
          <w:rFonts w:ascii="Calibri" w:eastAsia="Calibri" w:hAnsi="Calibri"/>
          <w:sz w:val="22"/>
          <w:szCs w:val="22"/>
          <w:lang w:val="en-US"/>
        </w:rPr>
        <w:t>xperience with data analysis, research and/or evaluations</w:t>
      </w:r>
      <w:r>
        <w:rPr>
          <w:rFonts w:ascii="Calibri" w:eastAsia="Calibri" w:hAnsi="Calibri"/>
          <w:sz w:val="22"/>
          <w:szCs w:val="22"/>
          <w:lang w:val="en-US"/>
        </w:rPr>
        <w:t xml:space="preserve"> related to gender equality, women’s rights and empowerment. </w:t>
      </w:r>
    </w:p>
    <w:p w14:paraId="6D66CD32" w14:textId="77777777" w:rsidR="006F1462" w:rsidRDefault="006F1462" w:rsidP="006F1462">
      <w:pPr>
        <w:numPr>
          <w:ilvl w:val="0"/>
          <w:numId w:val="7"/>
        </w:numPr>
        <w:spacing w:after="160" w:line="259" w:lineRule="auto"/>
        <w:contextualSpacing/>
        <w:rPr>
          <w:rFonts w:ascii="Calibri" w:eastAsia="Calibri" w:hAnsi="Calibri"/>
          <w:sz w:val="22"/>
          <w:szCs w:val="22"/>
          <w:lang w:val="en-US"/>
        </w:rPr>
      </w:pPr>
      <w:r>
        <w:rPr>
          <w:rFonts w:ascii="Calibri" w:eastAsia="Calibri" w:hAnsi="Calibri"/>
          <w:sz w:val="22"/>
          <w:szCs w:val="22"/>
          <w:lang w:val="en-US"/>
        </w:rPr>
        <w:t xml:space="preserve">Demonstrated experience analyzing large amounts of qualitative data.  </w:t>
      </w:r>
    </w:p>
    <w:p w14:paraId="1BDADC78" w14:textId="77777777" w:rsidR="006F1462" w:rsidRPr="00C1162C" w:rsidRDefault="006F1462" w:rsidP="006F1462">
      <w:pPr>
        <w:numPr>
          <w:ilvl w:val="0"/>
          <w:numId w:val="7"/>
        </w:numPr>
        <w:spacing w:after="160" w:line="259" w:lineRule="auto"/>
        <w:contextualSpacing/>
        <w:rPr>
          <w:rFonts w:ascii="Calibri" w:eastAsia="Calibri" w:hAnsi="Calibri"/>
          <w:sz w:val="22"/>
          <w:szCs w:val="22"/>
          <w:lang w:val="en-US"/>
        </w:rPr>
      </w:pPr>
      <w:r>
        <w:rPr>
          <w:rFonts w:ascii="Calibri" w:eastAsia="Calibri" w:hAnsi="Calibri"/>
          <w:sz w:val="22"/>
          <w:szCs w:val="22"/>
          <w:lang w:val="en-US"/>
        </w:rPr>
        <w:t xml:space="preserve">Ability to synthesize and analyze quantitative data using Excel or SPSS. </w:t>
      </w:r>
    </w:p>
    <w:p w14:paraId="3648B140" w14:textId="2D87660A" w:rsidR="006F1462" w:rsidRDefault="006F1462" w:rsidP="006F1462">
      <w:pPr>
        <w:numPr>
          <w:ilvl w:val="0"/>
          <w:numId w:val="7"/>
        </w:numPr>
        <w:spacing w:after="160" w:line="259" w:lineRule="auto"/>
        <w:contextualSpacing/>
        <w:rPr>
          <w:rFonts w:ascii="Calibri" w:eastAsia="Calibri" w:hAnsi="Calibri"/>
          <w:sz w:val="22"/>
          <w:szCs w:val="22"/>
          <w:lang w:val="en-US"/>
        </w:rPr>
      </w:pPr>
      <w:r w:rsidRPr="00C1162C">
        <w:rPr>
          <w:rFonts w:ascii="Calibri" w:eastAsia="Calibri" w:hAnsi="Calibri"/>
          <w:sz w:val="22"/>
          <w:szCs w:val="22"/>
          <w:lang w:val="en-US"/>
        </w:rPr>
        <w:t>Adept at producing report</w:t>
      </w:r>
      <w:r>
        <w:rPr>
          <w:rFonts w:ascii="Calibri" w:eastAsia="Calibri" w:hAnsi="Calibri"/>
          <w:sz w:val="22"/>
          <w:szCs w:val="22"/>
          <w:lang w:val="en-US"/>
        </w:rPr>
        <w:t>s that include evidence from the data to substantiate the findings (E.g. quotes, tables, graphs)</w:t>
      </w:r>
      <w:r w:rsidRPr="00C1162C">
        <w:rPr>
          <w:rFonts w:ascii="Calibri" w:eastAsia="Calibri" w:hAnsi="Calibri"/>
          <w:sz w:val="22"/>
          <w:szCs w:val="22"/>
          <w:lang w:val="en-US"/>
        </w:rPr>
        <w:t>.</w:t>
      </w:r>
    </w:p>
    <w:p w14:paraId="3E624634" w14:textId="6FFF1920" w:rsidR="0098183D" w:rsidRPr="00C1162C" w:rsidRDefault="0098183D" w:rsidP="006F1462">
      <w:pPr>
        <w:numPr>
          <w:ilvl w:val="0"/>
          <w:numId w:val="7"/>
        </w:numPr>
        <w:spacing w:after="160" w:line="259" w:lineRule="auto"/>
        <w:contextualSpacing/>
        <w:rPr>
          <w:rFonts w:ascii="Calibri" w:eastAsia="Calibri" w:hAnsi="Calibri"/>
          <w:sz w:val="22"/>
          <w:szCs w:val="22"/>
          <w:lang w:val="en-US"/>
        </w:rPr>
      </w:pPr>
      <w:r>
        <w:rPr>
          <w:rFonts w:ascii="Calibri" w:eastAsia="Calibri" w:hAnsi="Calibri"/>
          <w:sz w:val="22"/>
          <w:szCs w:val="22"/>
          <w:lang w:val="en-US"/>
        </w:rPr>
        <w:t>Demonstrated experience doing similar projects and producing reports for non-governmental and/or multi-lateral organizations.</w:t>
      </w:r>
    </w:p>
    <w:p w14:paraId="1DC4ACEF" w14:textId="77777777" w:rsidR="006F1462" w:rsidRDefault="006F1462" w:rsidP="006F1462">
      <w:pPr>
        <w:numPr>
          <w:ilvl w:val="0"/>
          <w:numId w:val="7"/>
        </w:numPr>
        <w:spacing w:after="160" w:line="259" w:lineRule="auto"/>
        <w:contextualSpacing/>
        <w:rPr>
          <w:rFonts w:ascii="Calibri" w:eastAsia="Calibri" w:hAnsi="Calibri"/>
          <w:sz w:val="22"/>
          <w:szCs w:val="22"/>
          <w:lang w:val="en-US"/>
        </w:rPr>
      </w:pPr>
      <w:r>
        <w:rPr>
          <w:rFonts w:ascii="Calibri" w:eastAsia="Calibri" w:hAnsi="Calibri"/>
          <w:sz w:val="22"/>
          <w:szCs w:val="22"/>
          <w:lang w:val="en-US"/>
        </w:rPr>
        <w:t xml:space="preserve">Strong analytical abilities </w:t>
      </w:r>
    </w:p>
    <w:p w14:paraId="1D2B07A5" w14:textId="77777777" w:rsidR="006F1462" w:rsidRDefault="006F1462" w:rsidP="006F1462">
      <w:pPr>
        <w:pStyle w:val="ListParagraph"/>
        <w:numPr>
          <w:ilvl w:val="0"/>
          <w:numId w:val="7"/>
        </w:numPr>
        <w:contextualSpacing/>
        <w:jc w:val="lowKashida"/>
      </w:pPr>
      <w:r>
        <w:t xml:space="preserve">Strong English reading, writing, and communication skills. </w:t>
      </w:r>
    </w:p>
    <w:p w14:paraId="2554EE31" w14:textId="77777777" w:rsidR="006F1462" w:rsidRDefault="006F1462" w:rsidP="00F41923">
      <w:pPr>
        <w:pStyle w:val="Heading1"/>
        <w:rPr>
          <w:b/>
          <w:color w:val="auto"/>
          <w:sz w:val="22"/>
          <w:szCs w:val="22"/>
        </w:rPr>
      </w:pPr>
    </w:p>
    <w:p w14:paraId="0D0712C1" w14:textId="32D4B5F3" w:rsidR="00F41923" w:rsidRPr="00EB713C" w:rsidRDefault="00F41923" w:rsidP="00EB713C">
      <w:pPr>
        <w:pStyle w:val="Heading1"/>
      </w:pPr>
      <w:r w:rsidRPr="00EB713C">
        <w:t>What to include in your proposal</w:t>
      </w:r>
      <w:r w:rsidR="008C59E0" w:rsidRPr="00EB713C">
        <w:t xml:space="preserve">: </w:t>
      </w:r>
    </w:p>
    <w:p w14:paraId="6DDFA969" w14:textId="77777777"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 xml:space="preserve">All proposals must be written in English </w:t>
      </w:r>
    </w:p>
    <w:p w14:paraId="38731DD3" w14:textId="698B8592"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 xml:space="preserve">The proposal must be submitted  in two parts : technical proposal and financial proposal </w:t>
      </w:r>
    </w:p>
    <w:p w14:paraId="782C0ACF" w14:textId="1408A8D2" w:rsidR="009F1535"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The technical proposal must include a narrative de</w:t>
      </w:r>
      <w:r w:rsidR="009F1535" w:rsidRPr="0096714F">
        <w:rPr>
          <w:rFonts w:ascii="Calibri" w:hAnsi="Calibri" w:cs="Calibri"/>
          <w:sz w:val="22"/>
        </w:rPr>
        <w:t>scription of the methodology;</w:t>
      </w:r>
      <w:r w:rsidRPr="0096714F">
        <w:rPr>
          <w:rFonts w:ascii="Calibri" w:hAnsi="Calibri" w:cs="Calibri"/>
          <w:sz w:val="22"/>
        </w:rPr>
        <w:t xml:space="preserve"> work plan fo</w:t>
      </w:r>
      <w:r w:rsidR="009F1535" w:rsidRPr="0096714F">
        <w:rPr>
          <w:rFonts w:ascii="Calibri" w:hAnsi="Calibri" w:cs="Calibri"/>
          <w:sz w:val="22"/>
        </w:rPr>
        <w:t xml:space="preserve">r accomplishing the assignment; description of possible challenges/risks in </w:t>
      </w:r>
      <w:r w:rsidR="008C59E0">
        <w:rPr>
          <w:rFonts w:ascii="Calibri" w:hAnsi="Calibri" w:cs="Calibri"/>
          <w:sz w:val="22"/>
        </w:rPr>
        <w:t>analysing the data</w:t>
      </w:r>
      <w:r w:rsidR="009F1535" w:rsidRPr="0096714F">
        <w:rPr>
          <w:rFonts w:ascii="Calibri" w:hAnsi="Calibri" w:cs="Calibri"/>
          <w:sz w:val="22"/>
        </w:rPr>
        <w:t xml:space="preserve"> </w:t>
      </w:r>
      <w:r w:rsidR="003B29FD">
        <w:rPr>
          <w:rFonts w:ascii="Calibri" w:hAnsi="Calibri" w:cs="Calibri"/>
          <w:sz w:val="22"/>
        </w:rPr>
        <w:t xml:space="preserve">and how to overcome them (including health risks associated with COVID-19). </w:t>
      </w:r>
    </w:p>
    <w:p w14:paraId="7C3A2A9C" w14:textId="40917A37" w:rsidR="009F1535" w:rsidRPr="0096714F" w:rsidRDefault="009F1535" w:rsidP="008D6BE8">
      <w:pPr>
        <w:pStyle w:val="NoSpacing"/>
        <w:numPr>
          <w:ilvl w:val="0"/>
          <w:numId w:val="25"/>
        </w:numPr>
        <w:rPr>
          <w:rFonts w:ascii="Calibri" w:hAnsi="Calibri" w:cs="Calibri"/>
          <w:sz w:val="22"/>
        </w:rPr>
      </w:pPr>
      <w:r w:rsidRPr="0096714F">
        <w:rPr>
          <w:rFonts w:ascii="Calibri" w:hAnsi="Calibri" w:cs="Calibri"/>
          <w:sz w:val="22"/>
        </w:rPr>
        <w:t>D</w:t>
      </w:r>
      <w:r w:rsidR="00F41923" w:rsidRPr="0096714F">
        <w:rPr>
          <w:rFonts w:ascii="Calibri" w:hAnsi="Calibri" w:cs="Calibri"/>
          <w:sz w:val="22"/>
        </w:rPr>
        <w:t>escribe relevant experience with at least three completed projects with similar complexity and scope</w:t>
      </w:r>
      <w:r w:rsidRPr="0096714F">
        <w:rPr>
          <w:rFonts w:ascii="Calibri" w:hAnsi="Calibri" w:cs="Calibri"/>
          <w:sz w:val="22"/>
        </w:rPr>
        <w:t xml:space="preserve">. </w:t>
      </w:r>
    </w:p>
    <w:p w14:paraId="334C0B15" w14:textId="7B621302"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lastRenderedPageBreak/>
        <w:t xml:space="preserve">Provide 1-2 samples of previous work </w:t>
      </w:r>
    </w:p>
    <w:p w14:paraId="0751FFE5" w14:textId="76A271E8"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Provide three references from past projects</w:t>
      </w:r>
    </w:p>
    <w:p w14:paraId="561F3344" w14:textId="77777777" w:rsidR="009D4DC3" w:rsidRPr="008D6BE8" w:rsidRDefault="009D4DC3" w:rsidP="00E23FFE">
      <w:pPr>
        <w:jc w:val="lowKashida"/>
        <w:rPr>
          <w:rFonts w:asciiTheme="minorHAnsi" w:hAnsiTheme="minorHAnsi" w:cstheme="minorHAnsi"/>
          <w:sz w:val="20"/>
        </w:rPr>
      </w:pPr>
    </w:p>
    <w:p w14:paraId="003B07D8" w14:textId="77777777" w:rsidR="00AF5397" w:rsidRPr="00F12CCC" w:rsidRDefault="00AF5397" w:rsidP="00F12CCC">
      <w:pPr>
        <w:pStyle w:val="Default"/>
        <w:tabs>
          <w:tab w:val="left" w:pos="284"/>
        </w:tabs>
        <w:spacing w:before="120" w:after="240"/>
        <w:ind w:right="21"/>
        <w:jc w:val="both"/>
        <w:rPr>
          <w:rFonts w:asciiTheme="majorHAnsi" w:eastAsiaTheme="majorEastAsia" w:hAnsiTheme="majorHAnsi" w:cstheme="majorBidi"/>
          <w:color w:val="2E74B5" w:themeColor="accent1" w:themeShade="BF"/>
          <w:sz w:val="32"/>
          <w:szCs w:val="32"/>
          <w:lang w:eastAsia="en-US"/>
        </w:rPr>
      </w:pPr>
      <w:r w:rsidRPr="00F12CCC">
        <w:rPr>
          <w:rFonts w:asciiTheme="majorHAnsi" w:eastAsiaTheme="majorEastAsia" w:hAnsiTheme="majorHAnsi" w:cstheme="majorBidi"/>
          <w:color w:val="2E74B5" w:themeColor="accent1" w:themeShade="BF"/>
          <w:sz w:val="32"/>
          <w:szCs w:val="32"/>
          <w:lang w:eastAsia="en-US"/>
        </w:rPr>
        <w:t>Application Procedure:</w:t>
      </w:r>
    </w:p>
    <w:p w14:paraId="46846998" w14:textId="1FD70C92" w:rsidR="00AF5397" w:rsidRPr="00D4743D" w:rsidRDefault="00AF5397" w:rsidP="00EA737D">
      <w:pPr>
        <w:numPr>
          <w:ilvl w:val="0"/>
          <w:numId w:val="34"/>
        </w:numPr>
        <w:spacing w:after="160" w:line="259" w:lineRule="auto"/>
        <w:contextualSpacing/>
        <w:rPr>
          <w:rFonts w:ascii="Calibri" w:eastAsia="Calibri" w:hAnsi="Calibri"/>
          <w:sz w:val="22"/>
          <w:szCs w:val="22"/>
          <w:lang w:val="en-US"/>
        </w:rPr>
      </w:pPr>
      <w:r w:rsidRPr="00D4743D">
        <w:rPr>
          <w:rFonts w:ascii="Calibri" w:eastAsia="Calibri" w:hAnsi="Calibri"/>
          <w:sz w:val="22"/>
          <w:szCs w:val="22"/>
          <w:lang w:val="en-US"/>
        </w:rPr>
        <w:t>Submit application to</w:t>
      </w:r>
      <w:r w:rsidRPr="00D4743D">
        <w:rPr>
          <w:rFonts w:ascii="Calibri" w:eastAsia="Calibri" w:hAnsi="Calibri"/>
          <w:sz w:val="22"/>
          <w:szCs w:val="22"/>
          <w:u w:val="single"/>
          <w:lang w:val="en-US"/>
        </w:rPr>
        <w:t xml:space="preserve"> </w:t>
      </w:r>
      <w:hyperlink r:id="rId11" w:history="1">
        <w:r w:rsidRPr="00D4743D">
          <w:rPr>
            <w:rFonts w:ascii="Calibri" w:eastAsia="Calibri" w:hAnsi="Calibri"/>
            <w:sz w:val="22"/>
            <w:szCs w:val="22"/>
            <w:u w:val="single"/>
            <w:lang w:val="en-US"/>
          </w:rPr>
          <w:t>Jobs.afghanistan@oxfam.org</w:t>
        </w:r>
      </w:hyperlink>
      <w:r w:rsidR="00D4743D">
        <w:rPr>
          <w:rFonts w:ascii="Calibri" w:eastAsia="Calibri" w:hAnsi="Calibri"/>
          <w:sz w:val="22"/>
          <w:szCs w:val="22"/>
          <w:lang w:val="en-US"/>
        </w:rPr>
        <w:t xml:space="preserve"> </w:t>
      </w:r>
      <w:r w:rsidRPr="00D4743D">
        <w:rPr>
          <w:rFonts w:ascii="Calibri" w:eastAsia="Calibri" w:hAnsi="Calibri"/>
          <w:sz w:val="22"/>
          <w:szCs w:val="22"/>
          <w:lang w:val="en-US"/>
        </w:rPr>
        <w:t xml:space="preserve"> and cc </w:t>
      </w:r>
      <w:hyperlink r:id="rId12" w:history="1">
        <w:r w:rsidRPr="00D4743D">
          <w:rPr>
            <w:rFonts w:ascii="Calibri" w:eastAsia="Calibri" w:hAnsi="Calibri"/>
            <w:sz w:val="22"/>
            <w:szCs w:val="22"/>
            <w:u w:val="single"/>
            <w:lang w:val="en-US"/>
          </w:rPr>
          <w:t>Beheshta.rahimy@oxfam.org</w:t>
        </w:r>
      </w:hyperlink>
      <w:r w:rsidRPr="00D4743D">
        <w:rPr>
          <w:rFonts w:ascii="Calibri" w:eastAsia="Calibri" w:hAnsi="Calibri"/>
          <w:sz w:val="22"/>
          <w:szCs w:val="22"/>
          <w:u w:val="single"/>
          <w:lang w:val="en-US"/>
        </w:rPr>
        <w:t xml:space="preserve"> </w:t>
      </w:r>
      <w:r w:rsidRPr="00D4743D">
        <w:rPr>
          <w:rFonts w:ascii="Calibri" w:eastAsia="Calibri" w:hAnsi="Calibri"/>
          <w:sz w:val="22"/>
          <w:szCs w:val="22"/>
          <w:lang w:val="en-US"/>
        </w:rPr>
        <w:t xml:space="preserve"> no later than </w:t>
      </w:r>
      <w:r w:rsidRPr="00D4743D">
        <w:rPr>
          <w:rFonts w:ascii="Calibri" w:eastAsia="Calibri" w:hAnsi="Calibri"/>
          <w:sz w:val="22"/>
          <w:szCs w:val="22"/>
          <w:lang w:val="en-US"/>
        </w:rPr>
        <w:t>February</w:t>
      </w:r>
      <w:r w:rsidRPr="00D4743D">
        <w:rPr>
          <w:rFonts w:ascii="Calibri" w:eastAsia="Calibri" w:hAnsi="Calibri"/>
          <w:sz w:val="22"/>
          <w:szCs w:val="22"/>
          <w:lang w:val="en-US"/>
        </w:rPr>
        <w:t xml:space="preserve"> </w:t>
      </w:r>
      <w:r w:rsidRPr="00D4743D">
        <w:rPr>
          <w:rFonts w:ascii="Calibri" w:eastAsia="Calibri" w:hAnsi="Calibri"/>
          <w:sz w:val="22"/>
          <w:szCs w:val="22"/>
          <w:lang w:val="en-US"/>
        </w:rPr>
        <w:t>07</w:t>
      </w:r>
      <w:r w:rsidRPr="00D4743D">
        <w:rPr>
          <w:rFonts w:ascii="Calibri" w:eastAsia="Calibri" w:hAnsi="Calibri"/>
          <w:sz w:val="22"/>
          <w:szCs w:val="22"/>
          <w:lang w:val="en-US"/>
        </w:rPr>
        <w:t>, 202</w:t>
      </w:r>
      <w:r w:rsidRPr="00D4743D">
        <w:rPr>
          <w:rFonts w:ascii="Calibri" w:eastAsia="Calibri" w:hAnsi="Calibri"/>
          <w:sz w:val="22"/>
          <w:szCs w:val="22"/>
          <w:lang w:val="en-US"/>
        </w:rPr>
        <w:t>1</w:t>
      </w:r>
      <w:r w:rsidRPr="00D4743D">
        <w:rPr>
          <w:rFonts w:ascii="Calibri" w:eastAsia="Calibri" w:hAnsi="Calibri"/>
          <w:sz w:val="22"/>
          <w:szCs w:val="22"/>
          <w:lang w:val="en-US"/>
        </w:rPr>
        <w:t xml:space="preserve">. </w:t>
      </w:r>
    </w:p>
    <w:p w14:paraId="60D3B38C" w14:textId="77777777" w:rsidR="00AF5397" w:rsidRPr="00D4743D" w:rsidRDefault="00AF5397" w:rsidP="00EA737D">
      <w:pPr>
        <w:numPr>
          <w:ilvl w:val="0"/>
          <w:numId w:val="34"/>
        </w:numPr>
        <w:spacing w:after="160" w:line="259" w:lineRule="auto"/>
        <w:contextualSpacing/>
        <w:rPr>
          <w:rFonts w:ascii="Calibri" w:eastAsia="Calibri" w:hAnsi="Calibri"/>
          <w:sz w:val="22"/>
          <w:szCs w:val="22"/>
          <w:lang w:val="en-US"/>
        </w:rPr>
      </w:pPr>
      <w:r w:rsidRPr="00D4743D">
        <w:rPr>
          <w:rFonts w:ascii="Calibri" w:eastAsia="Calibri" w:hAnsi="Calibri"/>
          <w:sz w:val="22"/>
          <w:szCs w:val="22"/>
          <w:lang w:val="en-US"/>
        </w:rPr>
        <w:t>Applications that do not contain the information outlined above will not be considered.</w:t>
      </w:r>
    </w:p>
    <w:p w14:paraId="571E7B89" w14:textId="77777777" w:rsidR="00F6467F" w:rsidRPr="005370B4" w:rsidRDefault="00F6467F" w:rsidP="00E23FFE">
      <w:pPr>
        <w:jc w:val="lowKashida"/>
        <w:rPr>
          <w:b/>
          <w:bCs/>
          <w:sz w:val="22"/>
        </w:rPr>
      </w:pPr>
    </w:p>
    <w:sectPr w:rsidR="00F6467F" w:rsidRPr="005370B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F179" w14:textId="77777777" w:rsidR="00B55101" w:rsidRDefault="00B55101" w:rsidP="009D3AA4">
      <w:r>
        <w:separator/>
      </w:r>
    </w:p>
  </w:endnote>
  <w:endnote w:type="continuationSeparator" w:id="0">
    <w:p w14:paraId="11BA01E3" w14:textId="77777777" w:rsidR="00B55101" w:rsidRDefault="00B55101" w:rsidP="009D3AA4">
      <w:r>
        <w:continuationSeparator/>
      </w:r>
    </w:p>
  </w:endnote>
  <w:endnote w:type="continuationNotice" w:id="1">
    <w:p w14:paraId="6588C554" w14:textId="77777777" w:rsidR="00B55101" w:rsidRDefault="00B55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D84F" w14:textId="77777777" w:rsidR="00B55101" w:rsidRDefault="00B55101" w:rsidP="009D3AA4">
      <w:r>
        <w:separator/>
      </w:r>
    </w:p>
  </w:footnote>
  <w:footnote w:type="continuationSeparator" w:id="0">
    <w:p w14:paraId="231A3571" w14:textId="77777777" w:rsidR="00B55101" w:rsidRDefault="00B55101" w:rsidP="009D3AA4">
      <w:r>
        <w:continuationSeparator/>
      </w:r>
    </w:p>
  </w:footnote>
  <w:footnote w:type="continuationNotice" w:id="1">
    <w:p w14:paraId="52DE5316" w14:textId="77777777" w:rsidR="00B55101" w:rsidRDefault="00B55101"/>
  </w:footnote>
  <w:footnote w:id="2">
    <w:p w14:paraId="3C168664" w14:textId="55F8B917" w:rsidR="00071E6E" w:rsidRPr="0014271B" w:rsidRDefault="00071E6E">
      <w:pPr>
        <w:pStyle w:val="FootnoteText"/>
        <w:rPr>
          <w:lang w:val="en-US"/>
        </w:rPr>
      </w:pPr>
      <w:r>
        <w:rPr>
          <w:rStyle w:val="FootnoteReference"/>
        </w:rPr>
        <w:footnoteRef/>
      </w:r>
      <w:r>
        <w:t xml:space="preserve"> </w:t>
      </w:r>
      <w:r w:rsidRPr="0014271B">
        <w:rPr>
          <w:lang w:val="en-US"/>
        </w:rPr>
        <w:t xml:space="preserve">Activities </w:t>
      </w:r>
      <w:r w:rsidRPr="00071E6E">
        <w:rPr>
          <w:lang w:val="en-US"/>
        </w:rPr>
        <w:t>were suspended in April and May</w:t>
      </w:r>
      <w:r w:rsidRPr="0014271B">
        <w:rPr>
          <w:lang w:val="en-US"/>
        </w:rPr>
        <w:t xml:space="preserve"> because of COVID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5DF4" w14:textId="77777777" w:rsidR="00AD0045" w:rsidRDefault="00AD0045">
    <w:pPr>
      <w:pStyle w:val="Header"/>
    </w:pPr>
    <w:r w:rsidRPr="00375468">
      <w:rPr>
        <w:rFonts w:asciiTheme="majorBidi" w:hAnsiTheme="majorBidi" w:cstheme="majorBidi"/>
        <w:b/>
        <w:i/>
        <w:iCs/>
        <w:noProof/>
        <w:sz w:val="28"/>
        <w:szCs w:val="28"/>
        <w:u w:val="single"/>
        <w:lang w:val="en-US"/>
      </w:rPr>
      <w:drawing>
        <wp:anchor distT="0" distB="0" distL="114300" distR="114300" simplePos="0" relativeHeight="251658240" behindDoc="0" locked="0" layoutInCell="1" allowOverlap="1" wp14:anchorId="2473476C" wp14:editId="7587CB61">
          <wp:simplePos x="0" y="0"/>
          <wp:positionH relativeFrom="margin">
            <wp:posOffset>5598049</wp:posOffset>
          </wp:positionH>
          <wp:positionV relativeFrom="paragraph">
            <wp:posOffset>-329565</wp:posOffset>
          </wp:positionV>
          <wp:extent cx="691763" cy="692456"/>
          <wp:effectExtent l="0" t="0" r="0" b="0"/>
          <wp:wrapNone/>
          <wp:docPr id="2" name="Picture 1" descr="OX_VL_C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VL_C_RGB_small"/>
                  <pic:cNvPicPr>
                    <a:picLocks noChangeAspect="1" noChangeArrowheads="1"/>
                  </pic:cNvPicPr>
                </pic:nvPicPr>
                <pic:blipFill>
                  <a:blip r:embed="rId1" cstate="print"/>
                  <a:srcRect/>
                  <a:stretch>
                    <a:fillRect/>
                  </a:stretch>
                </pic:blipFill>
                <pic:spPr bwMode="auto">
                  <a:xfrm>
                    <a:off x="0" y="0"/>
                    <a:ext cx="691763" cy="692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AB7"/>
    <w:multiLevelType w:val="hybridMultilevel"/>
    <w:tmpl w:val="4308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044F"/>
    <w:multiLevelType w:val="hybridMultilevel"/>
    <w:tmpl w:val="ECE47826"/>
    <w:lvl w:ilvl="0" w:tplc="11D697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16741654"/>
    <w:multiLevelType w:val="hybridMultilevel"/>
    <w:tmpl w:val="9C9CB5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C4A78"/>
    <w:multiLevelType w:val="hybridMultilevel"/>
    <w:tmpl w:val="44AE3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0015D"/>
    <w:multiLevelType w:val="hybridMultilevel"/>
    <w:tmpl w:val="07E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12CF0"/>
    <w:multiLevelType w:val="hybridMultilevel"/>
    <w:tmpl w:val="4566E46E"/>
    <w:lvl w:ilvl="0" w:tplc="82BCD9A2">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312A"/>
    <w:multiLevelType w:val="hybridMultilevel"/>
    <w:tmpl w:val="98DE1A0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660FCC"/>
    <w:multiLevelType w:val="hybridMultilevel"/>
    <w:tmpl w:val="656C7596"/>
    <w:lvl w:ilvl="0" w:tplc="36363ECC">
      <w:start w:val="2"/>
      <w:numFmt w:val="bullet"/>
      <w:lvlText w:val=""/>
      <w:lvlJc w:val="left"/>
      <w:pPr>
        <w:ind w:left="360" w:hanging="360"/>
      </w:pPr>
      <w:rPr>
        <w:rFonts w:ascii="Symbol" w:eastAsia="Times New Roman" w:hAnsi="Symbol" w:cstheme="minorHAnsi"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49A62DA"/>
    <w:multiLevelType w:val="multilevel"/>
    <w:tmpl w:val="39A49D0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F4231AD"/>
    <w:multiLevelType w:val="hybridMultilevel"/>
    <w:tmpl w:val="7026F9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82312"/>
    <w:multiLevelType w:val="hybridMultilevel"/>
    <w:tmpl w:val="20F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63045"/>
    <w:multiLevelType w:val="hybridMultilevel"/>
    <w:tmpl w:val="AA5E44A2"/>
    <w:lvl w:ilvl="0" w:tplc="69C28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66920"/>
    <w:multiLevelType w:val="hybridMultilevel"/>
    <w:tmpl w:val="DAF4625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B36B5A"/>
    <w:multiLevelType w:val="hybridMultilevel"/>
    <w:tmpl w:val="3E78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0661E"/>
    <w:multiLevelType w:val="hybridMultilevel"/>
    <w:tmpl w:val="D618D60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E7BA0"/>
    <w:multiLevelType w:val="hybridMultilevel"/>
    <w:tmpl w:val="0BF042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8378BD"/>
    <w:multiLevelType w:val="hybridMultilevel"/>
    <w:tmpl w:val="9BD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C632F3"/>
    <w:multiLevelType w:val="hybridMultilevel"/>
    <w:tmpl w:val="F1DA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17CF8"/>
    <w:multiLevelType w:val="hybridMultilevel"/>
    <w:tmpl w:val="AA5E44A2"/>
    <w:lvl w:ilvl="0" w:tplc="69C28E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36BD7"/>
    <w:multiLevelType w:val="hybridMultilevel"/>
    <w:tmpl w:val="BD3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A1A04"/>
    <w:multiLevelType w:val="hybridMultilevel"/>
    <w:tmpl w:val="7780F47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72C0A"/>
    <w:multiLevelType w:val="hybridMultilevel"/>
    <w:tmpl w:val="1E1A3A8C"/>
    <w:lvl w:ilvl="0" w:tplc="A5EA95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B87309"/>
    <w:multiLevelType w:val="hybridMultilevel"/>
    <w:tmpl w:val="EBF256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E9C42AE"/>
    <w:multiLevelType w:val="hybridMultilevel"/>
    <w:tmpl w:val="AC34F614"/>
    <w:lvl w:ilvl="0" w:tplc="E182B3A4">
      <w:start w:val="1"/>
      <w:numFmt w:val="lowerRoman"/>
      <w:lvlText w:val="%1."/>
      <w:lvlJc w:val="righ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3048D"/>
    <w:multiLevelType w:val="hybridMultilevel"/>
    <w:tmpl w:val="F7DA0776"/>
    <w:lvl w:ilvl="0" w:tplc="70B091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65CA4"/>
    <w:multiLevelType w:val="hybridMultilevel"/>
    <w:tmpl w:val="8B06D3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3B4476"/>
    <w:multiLevelType w:val="hybridMultilevel"/>
    <w:tmpl w:val="31AAD4AA"/>
    <w:lvl w:ilvl="0" w:tplc="BBE61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040E5"/>
    <w:multiLevelType w:val="hybridMultilevel"/>
    <w:tmpl w:val="BEA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1"/>
  </w:num>
  <w:num w:numId="4">
    <w:abstractNumId w:val="8"/>
  </w:num>
  <w:num w:numId="5">
    <w:abstractNumId w:val="9"/>
  </w:num>
  <w:num w:numId="6">
    <w:abstractNumId w:val="23"/>
  </w:num>
  <w:num w:numId="7">
    <w:abstractNumId w:val="32"/>
  </w:num>
  <w:num w:numId="8">
    <w:abstractNumId w:val="24"/>
  </w:num>
  <w:num w:numId="9">
    <w:abstractNumId w:val="20"/>
  </w:num>
  <w:num w:numId="10">
    <w:abstractNumId w:val="10"/>
  </w:num>
  <w:num w:numId="11">
    <w:abstractNumId w:val="27"/>
  </w:num>
  <w:num w:numId="12">
    <w:abstractNumId w:val="30"/>
  </w:num>
  <w:num w:numId="13">
    <w:abstractNumId w:val="12"/>
  </w:num>
  <w:num w:numId="14">
    <w:abstractNumId w:val="22"/>
  </w:num>
  <w:num w:numId="15">
    <w:abstractNumId w:val="4"/>
  </w:num>
  <w:num w:numId="16">
    <w:abstractNumId w:val="18"/>
  </w:num>
  <w:num w:numId="17">
    <w:abstractNumId w:val="2"/>
  </w:num>
  <w:num w:numId="18">
    <w:abstractNumId w:val="6"/>
  </w:num>
  <w:num w:numId="19">
    <w:abstractNumId w:val="5"/>
  </w:num>
  <w:num w:numId="20">
    <w:abstractNumId w:val="13"/>
  </w:num>
  <w:num w:numId="21">
    <w:abstractNumId w:val="33"/>
  </w:num>
  <w:num w:numId="22">
    <w:abstractNumId w:val="3"/>
  </w:num>
  <w:num w:numId="23">
    <w:abstractNumId w:val="21"/>
  </w:num>
  <w:num w:numId="24">
    <w:abstractNumId w:val="7"/>
  </w:num>
  <w:num w:numId="25">
    <w:abstractNumId w:val="25"/>
  </w:num>
  <w:num w:numId="26">
    <w:abstractNumId w:val="17"/>
  </w:num>
  <w:num w:numId="27">
    <w:abstractNumId w:val="28"/>
  </w:num>
  <w:num w:numId="28">
    <w:abstractNumId w:val="15"/>
  </w:num>
  <w:num w:numId="29">
    <w:abstractNumId w:val="1"/>
  </w:num>
  <w:num w:numId="30">
    <w:abstractNumId w:val="14"/>
  </w:num>
  <w:num w:numId="31">
    <w:abstractNumId w:val="0"/>
  </w:num>
  <w:num w:numId="32">
    <w:abstractNumId w:val="19"/>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jC3NDEwtDSxMLZU0lEKTi0uzszPAymwqAUAB41nxiwAAAA="/>
  </w:docVars>
  <w:rsids>
    <w:rsidRoot w:val="009D3AA4"/>
    <w:rsid w:val="000064C4"/>
    <w:rsid w:val="00013C82"/>
    <w:rsid w:val="000154F9"/>
    <w:rsid w:val="00015D5B"/>
    <w:rsid w:val="0002242F"/>
    <w:rsid w:val="00031FF5"/>
    <w:rsid w:val="000330FC"/>
    <w:rsid w:val="000357DC"/>
    <w:rsid w:val="000430F2"/>
    <w:rsid w:val="00043697"/>
    <w:rsid w:val="000437E2"/>
    <w:rsid w:val="000443C3"/>
    <w:rsid w:val="0005044B"/>
    <w:rsid w:val="00054D7A"/>
    <w:rsid w:val="00062DB1"/>
    <w:rsid w:val="000649CB"/>
    <w:rsid w:val="00071639"/>
    <w:rsid w:val="00071E6E"/>
    <w:rsid w:val="000813F4"/>
    <w:rsid w:val="000930C8"/>
    <w:rsid w:val="00097C8D"/>
    <w:rsid w:val="000A252F"/>
    <w:rsid w:val="000A47EF"/>
    <w:rsid w:val="000B256B"/>
    <w:rsid w:val="000B4405"/>
    <w:rsid w:val="000B704C"/>
    <w:rsid w:val="000D0153"/>
    <w:rsid w:val="000D438C"/>
    <w:rsid w:val="000D4872"/>
    <w:rsid w:val="000D55D8"/>
    <w:rsid w:val="000E0423"/>
    <w:rsid w:val="000E0C53"/>
    <w:rsid w:val="000E133A"/>
    <w:rsid w:val="000E1640"/>
    <w:rsid w:val="000E412C"/>
    <w:rsid w:val="000F0AC4"/>
    <w:rsid w:val="000F362C"/>
    <w:rsid w:val="000F493D"/>
    <w:rsid w:val="000F5651"/>
    <w:rsid w:val="000F7002"/>
    <w:rsid w:val="00101B51"/>
    <w:rsid w:val="001029AF"/>
    <w:rsid w:val="0011309B"/>
    <w:rsid w:val="00114207"/>
    <w:rsid w:val="001222E5"/>
    <w:rsid w:val="00122831"/>
    <w:rsid w:val="001239D6"/>
    <w:rsid w:val="0013020F"/>
    <w:rsid w:val="0014271B"/>
    <w:rsid w:val="00143B58"/>
    <w:rsid w:val="00153C08"/>
    <w:rsid w:val="0016197F"/>
    <w:rsid w:val="00164A6E"/>
    <w:rsid w:val="001734B6"/>
    <w:rsid w:val="0018217D"/>
    <w:rsid w:val="001914EC"/>
    <w:rsid w:val="00195F11"/>
    <w:rsid w:val="001A2F65"/>
    <w:rsid w:val="001A456F"/>
    <w:rsid w:val="001A57D1"/>
    <w:rsid w:val="001A77D7"/>
    <w:rsid w:val="001B1CED"/>
    <w:rsid w:val="001B511D"/>
    <w:rsid w:val="001B5BE1"/>
    <w:rsid w:val="001C19C3"/>
    <w:rsid w:val="001D1B9A"/>
    <w:rsid w:val="001D67BD"/>
    <w:rsid w:val="001D69AD"/>
    <w:rsid w:val="001D705E"/>
    <w:rsid w:val="001E08DC"/>
    <w:rsid w:val="001E1622"/>
    <w:rsid w:val="001E2700"/>
    <w:rsid w:val="001E7A8B"/>
    <w:rsid w:val="001F0F03"/>
    <w:rsid w:val="001F32BB"/>
    <w:rsid w:val="001F420F"/>
    <w:rsid w:val="00207158"/>
    <w:rsid w:val="0021224B"/>
    <w:rsid w:val="002169D4"/>
    <w:rsid w:val="00217CBB"/>
    <w:rsid w:val="002232D7"/>
    <w:rsid w:val="00223A54"/>
    <w:rsid w:val="0022472B"/>
    <w:rsid w:val="002308FE"/>
    <w:rsid w:val="002335DF"/>
    <w:rsid w:val="00241A7A"/>
    <w:rsid w:val="0024531D"/>
    <w:rsid w:val="0024792F"/>
    <w:rsid w:val="00247E67"/>
    <w:rsid w:val="0025799A"/>
    <w:rsid w:val="00266024"/>
    <w:rsid w:val="00270AFF"/>
    <w:rsid w:val="00286D27"/>
    <w:rsid w:val="00291FDB"/>
    <w:rsid w:val="00297B3C"/>
    <w:rsid w:val="00297C88"/>
    <w:rsid w:val="00297F45"/>
    <w:rsid w:val="002B0F56"/>
    <w:rsid w:val="002B71B5"/>
    <w:rsid w:val="002C1353"/>
    <w:rsid w:val="002C628C"/>
    <w:rsid w:val="002E0DB4"/>
    <w:rsid w:val="002E1B50"/>
    <w:rsid w:val="002F2063"/>
    <w:rsid w:val="002F3E95"/>
    <w:rsid w:val="00302F56"/>
    <w:rsid w:val="0030420B"/>
    <w:rsid w:val="003056BB"/>
    <w:rsid w:val="00310146"/>
    <w:rsid w:val="00316681"/>
    <w:rsid w:val="00316C78"/>
    <w:rsid w:val="00317329"/>
    <w:rsid w:val="00326D24"/>
    <w:rsid w:val="003326E7"/>
    <w:rsid w:val="00334A47"/>
    <w:rsid w:val="00357E7C"/>
    <w:rsid w:val="00361B46"/>
    <w:rsid w:val="00361BF5"/>
    <w:rsid w:val="003629EF"/>
    <w:rsid w:val="00363FCE"/>
    <w:rsid w:val="00367045"/>
    <w:rsid w:val="0037360B"/>
    <w:rsid w:val="00376DF7"/>
    <w:rsid w:val="00380443"/>
    <w:rsid w:val="00382131"/>
    <w:rsid w:val="003904ED"/>
    <w:rsid w:val="0039530E"/>
    <w:rsid w:val="003962D8"/>
    <w:rsid w:val="003A745C"/>
    <w:rsid w:val="003B076F"/>
    <w:rsid w:val="003B29FD"/>
    <w:rsid w:val="003B7F1A"/>
    <w:rsid w:val="003C5147"/>
    <w:rsid w:val="003D1CAF"/>
    <w:rsid w:val="003D4B7F"/>
    <w:rsid w:val="003E5CAA"/>
    <w:rsid w:val="003E5FB5"/>
    <w:rsid w:val="003E75F9"/>
    <w:rsid w:val="003F1522"/>
    <w:rsid w:val="004002C6"/>
    <w:rsid w:val="004048F6"/>
    <w:rsid w:val="00422340"/>
    <w:rsid w:val="00427F87"/>
    <w:rsid w:val="00433FF3"/>
    <w:rsid w:val="00434BF2"/>
    <w:rsid w:val="00453465"/>
    <w:rsid w:val="0045429F"/>
    <w:rsid w:val="0045524C"/>
    <w:rsid w:val="00463C9F"/>
    <w:rsid w:val="004669E9"/>
    <w:rsid w:val="00471179"/>
    <w:rsid w:val="0048110B"/>
    <w:rsid w:val="00482CDF"/>
    <w:rsid w:val="00486D35"/>
    <w:rsid w:val="004965ED"/>
    <w:rsid w:val="004A0E66"/>
    <w:rsid w:val="004A39CD"/>
    <w:rsid w:val="004A4F9E"/>
    <w:rsid w:val="004A5A84"/>
    <w:rsid w:val="004A6BCC"/>
    <w:rsid w:val="004A7824"/>
    <w:rsid w:val="004B04A3"/>
    <w:rsid w:val="004B0898"/>
    <w:rsid w:val="004B36A2"/>
    <w:rsid w:val="004B6553"/>
    <w:rsid w:val="004B6D47"/>
    <w:rsid w:val="004C362D"/>
    <w:rsid w:val="004D7631"/>
    <w:rsid w:val="004D7FA3"/>
    <w:rsid w:val="004F03AB"/>
    <w:rsid w:val="004F7FE8"/>
    <w:rsid w:val="0050126D"/>
    <w:rsid w:val="0050316A"/>
    <w:rsid w:val="005036F1"/>
    <w:rsid w:val="00512188"/>
    <w:rsid w:val="00516BD5"/>
    <w:rsid w:val="0051731A"/>
    <w:rsid w:val="00523E06"/>
    <w:rsid w:val="00527681"/>
    <w:rsid w:val="00530B6F"/>
    <w:rsid w:val="00536B51"/>
    <w:rsid w:val="005370B4"/>
    <w:rsid w:val="00537DC3"/>
    <w:rsid w:val="00537FE9"/>
    <w:rsid w:val="0054012D"/>
    <w:rsid w:val="00543F13"/>
    <w:rsid w:val="005641CE"/>
    <w:rsid w:val="005657DD"/>
    <w:rsid w:val="0057403B"/>
    <w:rsid w:val="00583C11"/>
    <w:rsid w:val="0059140F"/>
    <w:rsid w:val="005951C0"/>
    <w:rsid w:val="00595FC9"/>
    <w:rsid w:val="00596A16"/>
    <w:rsid w:val="005A30D5"/>
    <w:rsid w:val="005B2FFA"/>
    <w:rsid w:val="005B4283"/>
    <w:rsid w:val="005B6840"/>
    <w:rsid w:val="005C4747"/>
    <w:rsid w:val="005C63D2"/>
    <w:rsid w:val="005C78D5"/>
    <w:rsid w:val="005D678B"/>
    <w:rsid w:val="005E5D20"/>
    <w:rsid w:val="005F7939"/>
    <w:rsid w:val="0060467A"/>
    <w:rsid w:val="006132C1"/>
    <w:rsid w:val="00613C58"/>
    <w:rsid w:val="00622A9F"/>
    <w:rsid w:val="0062389F"/>
    <w:rsid w:val="00627588"/>
    <w:rsid w:val="0063035A"/>
    <w:rsid w:val="006304D6"/>
    <w:rsid w:val="006368F9"/>
    <w:rsid w:val="006430A1"/>
    <w:rsid w:val="006504E2"/>
    <w:rsid w:val="00660EAB"/>
    <w:rsid w:val="00677201"/>
    <w:rsid w:val="00682BEE"/>
    <w:rsid w:val="0069509D"/>
    <w:rsid w:val="00697BEF"/>
    <w:rsid w:val="006A1286"/>
    <w:rsid w:val="006B7924"/>
    <w:rsid w:val="006C0341"/>
    <w:rsid w:val="006C2B3D"/>
    <w:rsid w:val="006D00E5"/>
    <w:rsid w:val="006D4D98"/>
    <w:rsid w:val="006D7956"/>
    <w:rsid w:val="006E10AE"/>
    <w:rsid w:val="006E172D"/>
    <w:rsid w:val="006E3267"/>
    <w:rsid w:val="006F1462"/>
    <w:rsid w:val="00716721"/>
    <w:rsid w:val="0072461C"/>
    <w:rsid w:val="0075002F"/>
    <w:rsid w:val="00751026"/>
    <w:rsid w:val="007517EC"/>
    <w:rsid w:val="00754C6A"/>
    <w:rsid w:val="00760260"/>
    <w:rsid w:val="007748BB"/>
    <w:rsid w:val="00777F85"/>
    <w:rsid w:val="00786B7B"/>
    <w:rsid w:val="00791248"/>
    <w:rsid w:val="00796644"/>
    <w:rsid w:val="007A11D0"/>
    <w:rsid w:val="007A4871"/>
    <w:rsid w:val="007A69CD"/>
    <w:rsid w:val="007B5D28"/>
    <w:rsid w:val="007B6894"/>
    <w:rsid w:val="007B6FD5"/>
    <w:rsid w:val="007B73B0"/>
    <w:rsid w:val="007C4C75"/>
    <w:rsid w:val="007D3343"/>
    <w:rsid w:val="007E4EB8"/>
    <w:rsid w:val="007E6C05"/>
    <w:rsid w:val="008015E1"/>
    <w:rsid w:val="0080662E"/>
    <w:rsid w:val="00807752"/>
    <w:rsid w:val="008136CD"/>
    <w:rsid w:val="00813AAA"/>
    <w:rsid w:val="008170A8"/>
    <w:rsid w:val="00854321"/>
    <w:rsid w:val="00861973"/>
    <w:rsid w:val="00865F1D"/>
    <w:rsid w:val="008814FD"/>
    <w:rsid w:val="0089793D"/>
    <w:rsid w:val="008A1642"/>
    <w:rsid w:val="008A27C0"/>
    <w:rsid w:val="008B1FBC"/>
    <w:rsid w:val="008B4B0A"/>
    <w:rsid w:val="008C238B"/>
    <w:rsid w:val="008C3F0C"/>
    <w:rsid w:val="008C59B3"/>
    <w:rsid w:val="008C59E0"/>
    <w:rsid w:val="008D6BE8"/>
    <w:rsid w:val="008F1AD9"/>
    <w:rsid w:val="008F1B9C"/>
    <w:rsid w:val="00904E6A"/>
    <w:rsid w:val="0091167D"/>
    <w:rsid w:val="00913233"/>
    <w:rsid w:val="00925529"/>
    <w:rsid w:val="00925C61"/>
    <w:rsid w:val="00934AE4"/>
    <w:rsid w:val="00944729"/>
    <w:rsid w:val="00951896"/>
    <w:rsid w:val="009576A1"/>
    <w:rsid w:val="00964817"/>
    <w:rsid w:val="009649D3"/>
    <w:rsid w:val="00966557"/>
    <w:rsid w:val="0096714F"/>
    <w:rsid w:val="0098153B"/>
    <w:rsid w:val="0098183D"/>
    <w:rsid w:val="00983F6E"/>
    <w:rsid w:val="009A52B8"/>
    <w:rsid w:val="009A59C6"/>
    <w:rsid w:val="009B0443"/>
    <w:rsid w:val="009B35E9"/>
    <w:rsid w:val="009B654D"/>
    <w:rsid w:val="009D19D3"/>
    <w:rsid w:val="009D3AA4"/>
    <w:rsid w:val="009D4DC3"/>
    <w:rsid w:val="009E0267"/>
    <w:rsid w:val="009E3A3A"/>
    <w:rsid w:val="009E47F3"/>
    <w:rsid w:val="009E49FA"/>
    <w:rsid w:val="009F1535"/>
    <w:rsid w:val="009F2A7F"/>
    <w:rsid w:val="009F39C7"/>
    <w:rsid w:val="00A00FBF"/>
    <w:rsid w:val="00A030EA"/>
    <w:rsid w:val="00A07D76"/>
    <w:rsid w:val="00A10DDF"/>
    <w:rsid w:val="00A136CF"/>
    <w:rsid w:val="00A14862"/>
    <w:rsid w:val="00A1585C"/>
    <w:rsid w:val="00A202AB"/>
    <w:rsid w:val="00A256F0"/>
    <w:rsid w:val="00A262F4"/>
    <w:rsid w:val="00A30324"/>
    <w:rsid w:val="00A4169E"/>
    <w:rsid w:val="00A44AAD"/>
    <w:rsid w:val="00A51CF0"/>
    <w:rsid w:val="00A82FD6"/>
    <w:rsid w:val="00A8302B"/>
    <w:rsid w:val="00A8364B"/>
    <w:rsid w:val="00A853CC"/>
    <w:rsid w:val="00A95AA5"/>
    <w:rsid w:val="00A95E3D"/>
    <w:rsid w:val="00A97091"/>
    <w:rsid w:val="00A97B85"/>
    <w:rsid w:val="00AA265D"/>
    <w:rsid w:val="00AA284A"/>
    <w:rsid w:val="00AB2847"/>
    <w:rsid w:val="00AB3F92"/>
    <w:rsid w:val="00AB539B"/>
    <w:rsid w:val="00AC5A5A"/>
    <w:rsid w:val="00AC705B"/>
    <w:rsid w:val="00AC7199"/>
    <w:rsid w:val="00AD0045"/>
    <w:rsid w:val="00AD1E81"/>
    <w:rsid w:val="00AE018A"/>
    <w:rsid w:val="00AE67AC"/>
    <w:rsid w:val="00AE7E6F"/>
    <w:rsid w:val="00AF2C21"/>
    <w:rsid w:val="00AF4DE9"/>
    <w:rsid w:val="00AF5397"/>
    <w:rsid w:val="00B02696"/>
    <w:rsid w:val="00B032EA"/>
    <w:rsid w:val="00B04527"/>
    <w:rsid w:val="00B15C88"/>
    <w:rsid w:val="00B21365"/>
    <w:rsid w:val="00B34375"/>
    <w:rsid w:val="00B3514C"/>
    <w:rsid w:val="00B4138C"/>
    <w:rsid w:val="00B447BD"/>
    <w:rsid w:val="00B50DE0"/>
    <w:rsid w:val="00B52E01"/>
    <w:rsid w:val="00B54F48"/>
    <w:rsid w:val="00B55101"/>
    <w:rsid w:val="00B72768"/>
    <w:rsid w:val="00B81D00"/>
    <w:rsid w:val="00B8272F"/>
    <w:rsid w:val="00B95E39"/>
    <w:rsid w:val="00BA00B3"/>
    <w:rsid w:val="00BA0751"/>
    <w:rsid w:val="00BA6009"/>
    <w:rsid w:val="00BB40AE"/>
    <w:rsid w:val="00BC282C"/>
    <w:rsid w:val="00BC4853"/>
    <w:rsid w:val="00BC7A05"/>
    <w:rsid w:val="00BD46E6"/>
    <w:rsid w:val="00BD73CA"/>
    <w:rsid w:val="00BE3416"/>
    <w:rsid w:val="00BE4B67"/>
    <w:rsid w:val="00BE7378"/>
    <w:rsid w:val="00BE7EEB"/>
    <w:rsid w:val="00BF318B"/>
    <w:rsid w:val="00C05249"/>
    <w:rsid w:val="00C05EF0"/>
    <w:rsid w:val="00C06F19"/>
    <w:rsid w:val="00C10842"/>
    <w:rsid w:val="00C1162C"/>
    <w:rsid w:val="00C116EC"/>
    <w:rsid w:val="00C13253"/>
    <w:rsid w:val="00C14101"/>
    <w:rsid w:val="00C21529"/>
    <w:rsid w:val="00C2308A"/>
    <w:rsid w:val="00C31103"/>
    <w:rsid w:val="00C3217B"/>
    <w:rsid w:val="00C3622E"/>
    <w:rsid w:val="00C420F3"/>
    <w:rsid w:val="00C42C62"/>
    <w:rsid w:val="00C43250"/>
    <w:rsid w:val="00C44B5E"/>
    <w:rsid w:val="00C53231"/>
    <w:rsid w:val="00C74653"/>
    <w:rsid w:val="00C92700"/>
    <w:rsid w:val="00C940E7"/>
    <w:rsid w:val="00CA2935"/>
    <w:rsid w:val="00CA5839"/>
    <w:rsid w:val="00CA6BBA"/>
    <w:rsid w:val="00CB0443"/>
    <w:rsid w:val="00CB2767"/>
    <w:rsid w:val="00CC0D24"/>
    <w:rsid w:val="00CC44AF"/>
    <w:rsid w:val="00CC55F5"/>
    <w:rsid w:val="00CE15D0"/>
    <w:rsid w:val="00CF0F78"/>
    <w:rsid w:val="00CF109C"/>
    <w:rsid w:val="00CF405F"/>
    <w:rsid w:val="00CF57E3"/>
    <w:rsid w:val="00D026D8"/>
    <w:rsid w:val="00D100BD"/>
    <w:rsid w:val="00D10A9F"/>
    <w:rsid w:val="00D154D6"/>
    <w:rsid w:val="00D15D34"/>
    <w:rsid w:val="00D36A37"/>
    <w:rsid w:val="00D37002"/>
    <w:rsid w:val="00D428C2"/>
    <w:rsid w:val="00D4477F"/>
    <w:rsid w:val="00D461A3"/>
    <w:rsid w:val="00D46202"/>
    <w:rsid w:val="00D46493"/>
    <w:rsid w:val="00D4743D"/>
    <w:rsid w:val="00D55C62"/>
    <w:rsid w:val="00D60958"/>
    <w:rsid w:val="00D640BF"/>
    <w:rsid w:val="00D66B33"/>
    <w:rsid w:val="00D73122"/>
    <w:rsid w:val="00D76FAE"/>
    <w:rsid w:val="00D853E6"/>
    <w:rsid w:val="00D93AE5"/>
    <w:rsid w:val="00D93E2B"/>
    <w:rsid w:val="00D97CB1"/>
    <w:rsid w:val="00DA4F6D"/>
    <w:rsid w:val="00DB109C"/>
    <w:rsid w:val="00DC453B"/>
    <w:rsid w:val="00DD1C62"/>
    <w:rsid w:val="00DD1CB6"/>
    <w:rsid w:val="00DD4869"/>
    <w:rsid w:val="00DE4661"/>
    <w:rsid w:val="00DE6C87"/>
    <w:rsid w:val="00DE769D"/>
    <w:rsid w:val="00E00C6D"/>
    <w:rsid w:val="00E05134"/>
    <w:rsid w:val="00E056DB"/>
    <w:rsid w:val="00E065A7"/>
    <w:rsid w:val="00E106D6"/>
    <w:rsid w:val="00E13410"/>
    <w:rsid w:val="00E20B3C"/>
    <w:rsid w:val="00E219AC"/>
    <w:rsid w:val="00E23AB9"/>
    <w:rsid w:val="00E23DC8"/>
    <w:rsid w:val="00E23FFE"/>
    <w:rsid w:val="00E243CD"/>
    <w:rsid w:val="00E3154B"/>
    <w:rsid w:val="00E40864"/>
    <w:rsid w:val="00E42514"/>
    <w:rsid w:val="00E44BFE"/>
    <w:rsid w:val="00E52A6C"/>
    <w:rsid w:val="00E61A82"/>
    <w:rsid w:val="00E64690"/>
    <w:rsid w:val="00E64E8C"/>
    <w:rsid w:val="00E67047"/>
    <w:rsid w:val="00E67D14"/>
    <w:rsid w:val="00E7459E"/>
    <w:rsid w:val="00E80191"/>
    <w:rsid w:val="00E87762"/>
    <w:rsid w:val="00E93DB8"/>
    <w:rsid w:val="00E9665B"/>
    <w:rsid w:val="00EA307F"/>
    <w:rsid w:val="00EA71AB"/>
    <w:rsid w:val="00EA737D"/>
    <w:rsid w:val="00EB2F39"/>
    <w:rsid w:val="00EB713C"/>
    <w:rsid w:val="00EC0529"/>
    <w:rsid w:val="00EC09DC"/>
    <w:rsid w:val="00EC0B1F"/>
    <w:rsid w:val="00EC4617"/>
    <w:rsid w:val="00ED0398"/>
    <w:rsid w:val="00EE1097"/>
    <w:rsid w:val="00EF25BD"/>
    <w:rsid w:val="00EF5019"/>
    <w:rsid w:val="00F0151A"/>
    <w:rsid w:val="00F031E3"/>
    <w:rsid w:val="00F03259"/>
    <w:rsid w:val="00F06818"/>
    <w:rsid w:val="00F12B0D"/>
    <w:rsid w:val="00F12CCC"/>
    <w:rsid w:val="00F146D4"/>
    <w:rsid w:val="00F17A4A"/>
    <w:rsid w:val="00F21A61"/>
    <w:rsid w:val="00F311EA"/>
    <w:rsid w:val="00F31E9B"/>
    <w:rsid w:val="00F356FF"/>
    <w:rsid w:val="00F41923"/>
    <w:rsid w:val="00F44412"/>
    <w:rsid w:val="00F56037"/>
    <w:rsid w:val="00F57498"/>
    <w:rsid w:val="00F60D7A"/>
    <w:rsid w:val="00F611E1"/>
    <w:rsid w:val="00F62395"/>
    <w:rsid w:val="00F6457D"/>
    <w:rsid w:val="00F6467F"/>
    <w:rsid w:val="00F664CE"/>
    <w:rsid w:val="00F75614"/>
    <w:rsid w:val="00F761B9"/>
    <w:rsid w:val="00F762B2"/>
    <w:rsid w:val="00F77468"/>
    <w:rsid w:val="00F809ED"/>
    <w:rsid w:val="00F8279C"/>
    <w:rsid w:val="00F834AD"/>
    <w:rsid w:val="00F85621"/>
    <w:rsid w:val="00F94D88"/>
    <w:rsid w:val="00FA4121"/>
    <w:rsid w:val="00FA47C1"/>
    <w:rsid w:val="00FA4CAB"/>
    <w:rsid w:val="00FA5F5C"/>
    <w:rsid w:val="00FB2097"/>
    <w:rsid w:val="00FB3243"/>
    <w:rsid w:val="00FB6763"/>
    <w:rsid w:val="00FC4E27"/>
    <w:rsid w:val="00FC52C3"/>
    <w:rsid w:val="00FD53A1"/>
    <w:rsid w:val="00FD6AC2"/>
    <w:rsid w:val="00FE0271"/>
    <w:rsid w:val="00FE3ECA"/>
    <w:rsid w:val="00FE4612"/>
    <w:rsid w:val="00FE4989"/>
    <w:rsid w:val="00FF0BB2"/>
    <w:rsid w:val="00FF5DBD"/>
    <w:rsid w:val="00FF6BE1"/>
    <w:rsid w:val="00FF7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FEA"/>
  <w15:chartTrackingRefBased/>
  <w15:docId w15:val="{2B600F8E-5467-4F3F-BEE5-A3CCEDB6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A4"/>
    <w:pPr>
      <w:spacing w:after="0" w:line="240" w:lineRule="auto"/>
    </w:pPr>
    <w:rPr>
      <w:rFonts w:ascii="Arial" w:eastAsia="Times New Roman" w:hAnsi="Arial" w:cs="Arial"/>
      <w:sz w:val="24"/>
      <w:szCs w:val="20"/>
      <w:lang w:val="en-GB"/>
    </w:rPr>
  </w:style>
  <w:style w:type="paragraph" w:styleId="Heading1">
    <w:name w:val="heading 1"/>
    <w:basedOn w:val="Normal"/>
    <w:next w:val="Normal"/>
    <w:link w:val="Heading1Char"/>
    <w:qFormat/>
    <w:rsid w:val="009D3A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55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4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B71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A4"/>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qFormat/>
    <w:rsid w:val="009D3A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3AA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qFormat/>
    <w:rsid w:val="009D3A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D3AA4"/>
    <w:rPr>
      <w:rFonts w:eastAsiaTheme="minorEastAsia"/>
      <w:color w:val="5A5A5A" w:themeColor="text1" w:themeTint="A5"/>
      <w:spacing w:val="15"/>
      <w:lang w:val="en-GB"/>
    </w:rPr>
  </w:style>
  <w:style w:type="paragraph" w:styleId="Header">
    <w:name w:val="header"/>
    <w:basedOn w:val="Normal"/>
    <w:link w:val="HeaderChar"/>
    <w:uiPriority w:val="99"/>
    <w:unhideWhenUsed/>
    <w:rsid w:val="009D3AA4"/>
    <w:pPr>
      <w:tabs>
        <w:tab w:val="center" w:pos="4680"/>
        <w:tab w:val="right" w:pos="9360"/>
      </w:tabs>
    </w:pPr>
  </w:style>
  <w:style w:type="character" w:customStyle="1" w:styleId="HeaderChar">
    <w:name w:val="Header Char"/>
    <w:basedOn w:val="DefaultParagraphFont"/>
    <w:link w:val="Header"/>
    <w:uiPriority w:val="99"/>
    <w:rsid w:val="009D3AA4"/>
    <w:rPr>
      <w:rFonts w:ascii="Arial" w:eastAsia="Times New Roman" w:hAnsi="Arial" w:cs="Arial"/>
      <w:sz w:val="24"/>
      <w:szCs w:val="20"/>
      <w:lang w:val="en-GB"/>
    </w:rPr>
  </w:style>
  <w:style w:type="paragraph" w:styleId="Footer">
    <w:name w:val="footer"/>
    <w:basedOn w:val="Normal"/>
    <w:link w:val="FooterChar"/>
    <w:uiPriority w:val="99"/>
    <w:unhideWhenUsed/>
    <w:rsid w:val="009D3AA4"/>
    <w:pPr>
      <w:tabs>
        <w:tab w:val="center" w:pos="4680"/>
        <w:tab w:val="right" w:pos="9360"/>
      </w:tabs>
    </w:pPr>
  </w:style>
  <w:style w:type="character" w:customStyle="1" w:styleId="FooterChar">
    <w:name w:val="Footer Char"/>
    <w:basedOn w:val="DefaultParagraphFont"/>
    <w:link w:val="Footer"/>
    <w:uiPriority w:val="99"/>
    <w:rsid w:val="009D3AA4"/>
    <w:rPr>
      <w:rFonts w:ascii="Arial" w:eastAsia="Times New Roman" w:hAnsi="Arial" w:cs="Arial"/>
      <w:sz w:val="24"/>
      <w:szCs w:val="20"/>
      <w:lang w:val="en-GB"/>
    </w:rPr>
  </w:style>
  <w:style w:type="paragraph" w:styleId="ListParagraph">
    <w:name w:val="List Paragraph"/>
    <w:aliases w:val="List Paragraph (numbered (a)),Bullets,List_Paragraph,Multilevel para_II,List Paragraph1,MC Paragraphe Liste,Action list,Heading 2_sj,Bullit,Indent Paragraph,Lapis Bulleted List,List Paragraph 1,Ha,Recommendation,Bullet List,FooterText"/>
    <w:basedOn w:val="Normal"/>
    <w:link w:val="ListParagraphChar"/>
    <w:uiPriority w:val="34"/>
    <w:qFormat/>
    <w:rsid w:val="009D3AA4"/>
    <w:pPr>
      <w:ind w:left="720"/>
    </w:pPr>
    <w:rPr>
      <w:rFonts w:ascii="Calibri" w:eastAsiaTheme="minorHAnsi" w:hAnsi="Calibri" w:cs="Calibri"/>
      <w:sz w:val="22"/>
      <w:szCs w:val="22"/>
      <w:lang w:val="en-US"/>
    </w:rPr>
  </w:style>
  <w:style w:type="character" w:customStyle="1" w:styleId="ListParagraphChar">
    <w:name w:val="List Paragraph Char"/>
    <w:aliases w:val="List Paragraph (numbered (a)) Char,Bullets Char,List_Paragraph Char,Multilevel para_II Char,List Paragraph1 Char,MC Paragraphe Liste Char,Action list Char,Heading 2_sj Char,Bullit Char,Indent Paragraph Char,Lapis Bulleted List Char"/>
    <w:basedOn w:val="DefaultParagraphFont"/>
    <w:link w:val="ListParagraph"/>
    <w:uiPriority w:val="34"/>
    <w:qFormat/>
    <w:rsid w:val="009D3AA4"/>
    <w:rPr>
      <w:rFonts w:ascii="Calibri" w:hAnsi="Calibri" w:cs="Calibri"/>
    </w:rPr>
  </w:style>
  <w:style w:type="paragraph" w:styleId="FootnoteText">
    <w:name w:val="footnote text"/>
    <w:basedOn w:val="Normal"/>
    <w:link w:val="FootnoteTextChar"/>
    <w:rsid w:val="009D3AA4"/>
    <w:rPr>
      <w:sz w:val="20"/>
    </w:rPr>
  </w:style>
  <w:style w:type="character" w:customStyle="1" w:styleId="FootnoteTextChar">
    <w:name w:val="Footnote Text Char"/>
    <w:basedOn w:val="DefaultParagraphFont"/>
    <w:link w:val="FootnoteText"/>
    <w:rsid w:val="009D3AA4"/>
    <w:rPr>
      <w:rFonts w:ascii="Arial" w:eastAsia="Times New Roman" w:hAnsi="Arial" w:cs="Arial"/>
      <w:sz w:val="20"/>
      <w:szCs w:val="20"/>
      <w:lang w:val="en-GB"/>
    </w:rPr>
  </w:style>
  <w:style w:type="character" w:styleId="FootnoteReference">
    <w:name w:val="footnote reference"/>
    <w:basedOn w:val="DefaultParagraphFont"/>
    <w:rsid w:val="009D3AA4"/>
    <w:rPr>
      <w:vertAlign w:val="superscript"/>
    </w:rPr>
  </w:style>
  <w:style w:type="table" w:styleId="TableGrid">
    <w:name w:val="Table Grid"/>
    <w:basedOn w:val="TableNormal"/>
    <w:uiPriority w:val="59"/>
    <w:rsid w:val="004A7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824"/>
    <w:rPr>
      <w:color w:val="0000FF"/>
      <w:u w:val="single"/>
    </w:rPr>
  </w:style>
  <w:style w:type="character" w:styleId="CommentReference">
    <w:name w:val="annotation reference"/>
    <w:basedOn w:val="DefaultParagraphFont"/>
    <w:uiPriority w:val="99"/>
    <w:semiHidden/>
    <w:unhideWhenUsed/>
    <w:rsid w:val="00C43250"/>
    <w:rPr>
      <w:sz w:val="16"/>
      <w:szCs w:val="16"/>
    </w:rPr>
  </w:style>
  <w:style w:type="paragraph" w:styleId="CommentText">
    <w:name w:val="annotation text"/>
    <w:basedOn w:val="Normal"/>
    <w:link w:val="CommentTextChar"/>
    <w:uiPriority w:val="99"/>
    <w:semiHidden/>
    <w:unhideWhenUsed/>
    <w:rsid w:val="00C43250"/>
    <w:pPr>
      <w:spacing w:after="16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C43250"/>
    <w:rPr>
      <w:sz w:val="20"/>
      <w:szCs w:val="20"/>
    </w:rPr>
  </w:style>
  <w:style w:type="paragraph" w:styleId="BalloonText">
    <w:name w:val="Balloon Text"/>
    <w:basedOn w:val="Normal"/>
    <w:link w:val="BalloonTextChar"/>
    <w:uiPriority w:val="99"/>
    <w:semiHidden/>
    <w:unhideWhenUsed/>
    <w:rsid w:val="00C43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50"/>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71639"/>
    <w:pPr>
      <w:spacing w:after="0"/>
    </w:pPr>
    <w:rPr>
      <w:rFonts w:ascii="Arial" w:eastAsia="Times New Roman" w:hAnsi="Arial" w:cs="Arial"/>
      <w:b/>
      <w:bCs/>
      <w:lang w:val="en-GB"/>
    </w:rPr>
  </w:style>
  <w:style w:type="character" w:customStyle="1" w:styleId="CommentSubjectChar">
    <w:name w:val="Comment Subject Char"/>
    <w:basedOn w:val="CommentTextChar"/>
    <w:link w:val="CommentSubject"/>
    <w:uiPriority w:val="99"/>
    <w:semiHidden/>
    <w:rsid w:val="00071639"/>
    <w:rPr>
      <w:rFonts w:ascii="Arial" w:eastAsia="Times New Roman" w:hAnsi="Arial" w:cs="Arial"/>
      <w:b/>
      <w:bCs/>
      <w:sz w:val="20"/>
      <w:szCs w:val="20"/>
      <w:lang w:val="en-GB"/>
    </w:rPr>
  </w:style>
  <w:style w:type="character" w:customStyle="1" w:styleId="Heading2Char">
    <w:name w:val="Heading 2 Char"/>
    <w:basedOn w:val="DefaultParagraphFont"/>
    <w:link w:val="Heading2"/>
    <w:uiPriority w:val="9"/>
    <w:rsid w:val="000D55D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0E0423"/>
    <w:rPr>
      <w:rFonts w:asciiTheme="majorHAnsi" w:eastAsiaTheme="majorEastAsia" w:hAnsiTheme="majorHAnsi" w:cstheme="majorBidi"/>
      <w:color w:val="1F4D78" w:themeColor="accent1" w:themeShade="7F"/>
      <w:sz w:val="24"/>
      <w:szCs w:val="24"/>
      <w:lang w:val="en-GB"/>
    </w:rPr>
  </w:style>
  <w:style w:type="table" w:customStyle="1" w:styleId="TableGrid2">
    <w:name w:val="Table Grid2"/>
    <w:basedOn w:val="TableNormal"/>
    <w:next w:val="TableGrid"/>
    <w:uiPriority w:val="59"/>
    <w:rsid w:val="009D4D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4B7F"/>
    <w:pPr>
      <w:widowControl w:val="0"/>
      <w:autoSpaceDE w:val="0"/>
      <w:autoSpaceDN w:val="0"/>
    </w:pPr>
    <w:rPr>
      <w:rFonts w:ascii="Calibri" w:eastAsia="Calibri" w:hAnsi="Calibri" w:cs="Calibri"/>
      <w:sz w:val="22"/>
      <w:szCs w:val="22"/>
      <w:lang w:val="en-US" w:bidi="en-US"/>
    </w:rPr>
  </w:style>
  <w:style w:type="paragraph" w:styleId="NoSpacing">
    <w:name w:val="No Spacing"/>
    <w:uiPriority w:val="1"/>
    <w:qFormat/>
    <w:rsid w:val="008D6BE8"/>
    <w:pPr>
      <w:spacing w:after="0" w:line="240" w:lineRule="auto"/>
    </w:pPr>
    <w:rPr>
      <w:rFonts w:ascii="Arial" w:eastAsia="Times New Roman" w:hAnsi="Arial" w:cs="Arial"/>
      <w:sz w:val="24"/>
      <w:szCs w:val="20"/>
      <w:lang w:val="en-GB"/>
    </w:rPr>
  </w:style>
  <w:style w:type="character" w:customStyle="1" w:styleId="Heading4Char">
    <w:name w:val="Heading 4 Char"/>
    <w:basedOn w:val="DefaultParagraphFont"/>
    <w:link w:val="Heading4"/>
    <w:uiPriority w:val="9"/>
    <w:semiHidden/>
    <w:rsid w:val="00EB713C"/>
    <w:rPr>
      <w:rFonts w:asciiTheme="majorHAnsi" w:eastAsiaTheme="majorEastAsia" w:hAnsiTheme="majorHAnsi" w:cstheme="majorBidi"/>
      <w:i/>
      <w:iCs/>
      <w:color w:val="2E74B5" w:themeColor="accent1" w:themeShade="BF"/>
      <w:sz w:val="24"/>
      <w:szCs w:val="20"/>
      <w:lang w:val="en-GB"/>
    </w:rPr>
  </w:style>
  <w:style w:type="paragraph" w:customStyle="1" w:styleId="Default">
    <w:name w:val="Default"/>
    <w:rsid w:val="00AF5397"/>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9073">
      <w:bodyDiv w:val="1"/>
      <w:marLeft w:val="0"/>
      <w:marRight w:val="0"/>
      <w:marTop w:val="0"/>
      <w:marBottom w:val="0"/>
      <w:divBdr>
        <w:top w:val="none" w:sz="0" w:space="0" w:color="auto"/>
        <w:left w:val="none" w:sz="0" w:space="0" w:color="auto"/>
        <w:bottom w:val="none" w:sz="0" w:space="0" w:color="auto"/>
        <w:right w:val="none" w:sz="0" w:space="0" w:color="auto"/>
      </w:divBdr>
    </w:div>
    <w:div w:id="321008344">
      <w:bodyDiv w:val="1"/>
      <w:marLeft w:val="0"/>
      <w:marRight w:val="0"/>
      <w:marTop w:val="0"/>
      <w:marBottom w:val="0"/>
      <w:divBdr>
        <w:top w:val="none" w:sz="0" w:space="0" w:color="auto"/>
        <w:left w:val="none" w:sz="0" w:space="0" w:color="auto"/>
        <w:bottom w:val="none" w:sz="0" w:space="0" w:color="auto"/>
        <w:right w:val="none" w:sz="0" w:space="0" w:color="auto"/>
      </w:divBdr>
    </w:div>
    <w:div w:id="410583162">
      <w:bodyDiv w:val="1"/>
      <w:marLeft w:val="0"/>
      <w:marRight w:val="0"/>
      <w:marTop w:val="0"/>
      <w:marBottom w:val="0"/>
      <w:divBdr>
        <w:top w:val="none" w:sz="0" w:space="0" w:color="auto"/>
        <w:left w:val="none" w:sz="0" w:space="0" w:color="auto"/>
        <w:bottom w:val="none" w:sz="0" w:space="0" w:color="auto"/>
        <w:right w:val="none" w:sz="0" w:space="0" w:color="auto"/>
      </w:divBdr>
    </w:div>
    <w:div w:id="778256371">
      <w:bodyDiv w:val="1"/>
      <w:marLeft w:val="0"/>
      <w:marRight w:val="0"/>
      <w:marTop w:val="0"/>
      <w:marBottom w:val="0"/>
      <w:divBdr>
        <w:top w:val="none" w:sz="0" w:space="0" w:color="auto"/>
        <w:left w:val="none" w:sz="0" w:space="0" w:color="auto"/>
        <w:bottom w:val="none" w:sz="0" w:space="0" w:color="auto"/>
        <w:right w:val="none" w:sz="0" w:space="0" w:color="auto"/>
      </w:divBdr>
    </w:div>
    <w:div w:id="1244994637">
      <w:bodyDiv w:val="1"/>
      <w:marLeft w:val="0"/>
      <w:marRight w:val="0"/>
      <w:marTop w:val="0"/>
      <w:marBottom w:val="0"/>
      <w:divBdr>
        <w:top w:val="none" w:sz="0" w:space="0" w:color="auto"/>
        <w:left w:val="none" w:sz="0" w:space="0" w:color="auto"/>
        <w:bottom w:val="none" w:sz="0" w:space="0" w:color="auto"/>
        <w:right w:val="none" w:sz="0" w:space="0" w:color="auto"/>
      </w:divBdr>
    </w:div>
    <w:div w:id="1682661419">
      <w:bodyDiv w:val="1"/>
      <w:marLeft w:val="0"/>
      <w:marRight w:val="0"/>
      <w:marTop w:val="0"/>
      <w:marBottom w:val="0"/>
      <w:divBdr>
        <w:top w:val="none" w:sz="0" w:space="0" w:color="auto"/>
        <w:left w:val="none" w:sz="0" w:space="0" w:color="auto"/>
        <w:bottom w:val="none" w:sz="0" w:space="0" w:color="auto"/>
        <w:right w:val="none" w:sz="0" w:space="0" w:color="auto"/>
      </w:divBdr>
    </w:div>
    <w:div w:id="1757095517">
      <w:bodyDiv w:val="1"/>
      <w:marLeft w:val="0"/>
      <w:marRight w:val="0"/>
      <w:marTop w:val="0"/>
      <w:marBottom w:val="0"/>
      <w:divBdr>
        <w:top w:val="none" w:sz="0" w:space="0" w:color="auto"/>
        <w:left w:val="none" w:sz="0" w:space="0" w:color="auto"/>
        <w:bottom w:val="none" w:sz="0" w:space="0" w:color="auto"/>
        <w:right w:val="none" w:sz="0" w:space="0" w:color="auto"/>
      </w:divBdr>
    </w:div>
    <w:div w:id="1939826950">
      <w:bodyDiv w:val="1"/>
      <w:marLeft w:val="0"/>
      <w:marRight w:val="0"/>
      <w:marTop w:val="0"/>
      <w:marBottom w:val="0"/>
      <w:divBdr>
        <w:top w:val="none" w:sz="0" w:space="0" w:color="auto"/>
        <w:left w:val="none" w:sz="0" w:space="0" w:color="auto"/>
        <w:bottom w:val="none" w:sz="0" w:space="0" w:color="auto"/>
        <w:right w:val="none" w:sz="0" w:space="0" w:color="auto"/>
      </w:divBdr>
    </w:div>
    <w:div w:id="19887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heshta.rahimy@oxfa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afghanistan@oxfa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F1B4EDA68A44BB646294C2683030" ma:contentTypeVersion="15" ma:contentTypeDescription="Create a new document." ma:contentTypeScope="" ma:versionID="752089f86e9c60f71687f1ca1708c9ea">
  <xsd:schema xmlns:xsd="http://www.w3.org/2001/XMLSchema" xmlns:xs="http://www.w3.org/2001/XMLSchema" xmlns:p="http://schemas.microsoft.com/office/2006/metadata/properties" xmlns:ns1="http://schemas.microsoft.com/sharepoint/v3" xmlns:ns3="1105c17e-68f2-443c-8954-e670eb9f2285" xmlns:ns4="e59872f9-f6ec-43c6-809b-ae136ac55c19" targetNamespace="http://schemas.microsoft.com/office/2006/metadata/properties" ma:root="true" ma:fieldsID="2b1d4b28465465226ddab6e1ac17f167" ns1:_="" ns3:_="" ns4:_="">
    <xsd:import namespace="http://schemas.microsoft.com/sharepoint/v3"/>
    <xsd:import namespace="1105c17e-68f2-443c-8954-e670eb9f2285"/>
    <xsd:import namespace="e59872f9-f6ec-43c6-809b-ae136ac55c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5c17e-68f2-443c-8954-e670eb9f2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872f9-f6ec-43c6-809b-ae136ac55c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CEB92-F430-43D0-83B5-08346FEA0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05c17e-68f2-443c-8954-e670eb9f2285"/>
    <ds:schemaRef ds:uri="e59872f9-f6ec-43c6-809b-ae136ac5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07820-1538-4F68-AB00-4E852CB6CC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48A358-46A7-4768-9987-72C7F0B7DC77}">
  <ds:schemaRefs>
    <ds:schemaRef ds:uri="http://schemas.openxmlformats.org/officeDocument/2006/bibliography"/>
  </ds:schemaRefs>
</ds:datastoreItem>
</file>

<file path=customXml/itemProps4.xml><?xml version="1.0" encoding="utf-8"?>
<ds:datastoreItem xmlns:ds="http://schemas.openxmlformats.org/officeDocument/2006/customXml" ds:itemID="{533DA12B-CC91-402C-9AC4-9E90F6CC7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Rotbah Nitia</dc:creator>
  <cp:keywords/>
  <dc:description/>
  <cp:lastModifiedBy>Beheshta Rahimy</cp:lastModifiedBy>
  <cp:revision>6</cp:revision>
  <cp:lastPrinted>2020-09-17T11:23:00Z</cp:lastPrinted>
  <dcterms:created xsi:type="dcterms:W3CDTF">2021-01-20T07:17:00Z</dcterms:created>
  <dcterms:modified xsi:type="dcterms:W3CDTF">2021-01-24T07:20:00Z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0x010100E298F1B4EDA68A44BB646294C2683030</vt:lpwstr>
  </property>
</Properties>
</file>