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7107"/>
        <w:gridCol w:w="903"/>
      </w:tblGrid>
      <w:tr w:rsidR="007317A2" w:rsidRPr="00097530" w:rsidTr="00881BE8">
        <w:tc>
          <w:tcPr>
            <w:tcW w:w="5148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نتایج متوقعه</w:t>
            </w:r>
          </w:p>
        </w:tc>
        <w:tc>
          <w:tcPr>
            <w:tcW w:w="7107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سفارش</w:t>
            </w:r>
          </w:p>
        </w:tc>
        <w:tc>
          <w:tcPr>
            <w:tcW w:w="903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شماره</w:t>
            </w:r>
          </w:p>
        </w:tc>
      </w:tr>
      <w:tr w:rsidR="007317A2" w:rsidRPr="00097530" w:rsidTr="00881BE8">
        <w:tc>
          <w:tcPr>
            <w:tcW w:w="5148" w:type="dxa"/>
          </w:tcPr>
          <w:p w:rsidR="007317A2" w:rsidRPr="00097530" w:rsidRDefault="00C220DB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b/>
                <w:i/>
                <w:sz w:val="24"/>
                <w:szCs w:val="24"/>
                <w:rtl/>
              </w:rPr>
              <w:t>احیای مجدد اعتماد مردم و تمویل کننده گان بالای وزارت صحت عامه</w:t>
            </w:r>
          </w:p>
        </w:tc>
        <w:tc>
          <w:tcPr>
            <w:tcW w:w="7107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ایجاد شورای مستقل تفتیش و گزارش دهی سکتور صحت (</w:t>
            </w:r>
            <w:r w:rsidRPr="00097530">
              <w:rPr>
                <w:rFonts w:asciiTheme="majorBidi" w:hAnsiTheme="majorBidi" w:cstheme="majorBidi"/>
                <w:sz w:val="24"/>
                <w:szCs w:val="24"/>
              </w:rPr>
              <w:t>ICHSAR</w:t>
            </w: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) در کابل. اعضای شورا مذکور باید شامل وزیر صحت عامه، مشاوین تخنیکی بین المللی دارای تخصص در تفتیش و گزارش دهی سیستم صحی، نماینده گان نهاد های جامعه مدنی بیرون از سکتور صحت و نماینده گان تمویل کننده بین المللی سکتور صحی افغانستان باشند.</w:t>
            </w:r>
          </w:p>
        </w:tc>
        <w:tc>
          <w:tcPr>
            <w:tcW w:w="903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1.1.1</w:t>
            </w:r>
          </w:p>
        </w:tc>
      </w:tr>
      <w:tr w:rsidR="007317A2" w:rsidRPr="00097530" w:rsidTr="00881BE8">
        <w:tc>
          <w:tcPr>
            <w:tcW w:w="5148" w:type="dxa"/>
          </w:tcPr>
          <w:p w:rsidR="007317A2" w:rsidRPr="00097530" w:rsidRDefault="00C220DB" w:rsidP="00097530">
            <w:pPr>
              <w:bidi/>
              <w:spacing w:before="120" w:after="120" w:line="276" w:lineRule="auto"/>
              <w:jc w:val="lowKashida"/>
              <w:rPr>
                <w:rFonts w:asciiTheme="majorBidi" w:hAnsiTheme="majorBidi" w:cstheme="majorBidi"/>
                <w:i/>
                <w:sz w:val="24"/>
                <w:szCs w:val="24"/>
                <w:rtl/>
                <w:lang w:bidi="fa-IR"/>
              </w:rPr>
            </w:pP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</w:rPr>
              <w:t xml:space="preserve">احیای مجدد اعتبار، صداقت و شفافیت سکتور صحت و تامین سازگاری وزارت با اهدافش و کاهش خطر برنده شدن مؤسسات داخلی و مؤسسات خارجی ضعیف در گرفتن قرارداد ها. </w:t>
            </w:r>
          </w:p>
        </w:tc>
        <w:tc>
          <w:tcPr>
            <w:tcW w:w="7107" w:type="dxa"/>
          </w:tcPr>
          <w:p w:rsidR="007317A2" w:rsidRPr="00097530" w:rsidRDefault="00C220DB" w:rsidP="00097530">
            <w:pPr>
              <w:bidi/>
              <w:spacing w:before="120" w:after="120" w:line="276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ایجاد کمیسیون مستقل تصدیق دهی مؤسسات صحی (</w:t>
            </w:r>
            <w:r w:rsidRPr="00097530">
              <w:rPr>
                <w:rFonts w:asciiTheme="majorBidi" w:hAnsiTheme="majorBidi" w:cstheme="majorBidi"/>
                <w:sz w:val="24"/>
                <w:szCs w:val="24"/>
              </w:rPr>
              <w:t>ICAHO</w:t>
            </w: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). کمیشنران باید متشکل از وزیر صحت عامه، مشاورین تخنیکی بین المللی دارای تخصص در تصدیق دهی مؤسسات صحی، نماینده گان جامعه مدنی خارج از سکتور صحت و نماینده گان تمویل کننده گان بین المللی سکتور صحت باشند. کمیسیون مستقل تصدیق (اعتبار دهی) مؤسسات صحی  باید بطور ربعوار غرض بررسی دست آورد ها مطابق </w:t>
            </w: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پلانهای کاری جلسات دایر نمایند.</w:t>
            </w:r>
          </w:p>
        </w:tc>
        <w:tc>
          <w:tcPr>
            <w:tcW w:w="903" w:type="dxa"/>
          </w:tcPr>
          <w:p w:rsidR="007317A2" w:rsidRPr="00097530" w:rsidRDefault="00C220DB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3.1</w:t>
            </w:r>
          </w:p>
        </w:tc>
      </w:tr>
      <w:tr w:rsidR="007317A2" w:rsidRPr="00097530" w:rsidTr="00881BE8">
        <w:tc>
          <w:tcPr>
            <w:tcW w:w="5148" w:type="dxa"/>
          </w:tcPr>
          <w:p w:rsidR="007317A2" w:rsidRPr="00097530" w:rsidRDefault="00C220DB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b/>
                <w:i/>
                <w:sz w:val="24"/>
                <w:szCs w:val="24"/>
                <w:rtl/>
              </w:rPr>
              <w:t>بهبود اعتماد عامه بالای سکتور صحت و کاهش اخاذی</w:t>
            </w:r>
          </w:p>
        </w:tc>
        <w:tc>
          <w:tcPr>
            <w:tcW w:w="7107" w:type="dxa"/>
          </w:tcPr>
          <w:p w:rsidR="007317A2" w:rsidRPr="00097530" w:rsidRDefault="00C220DB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b/>
                <w:i/>
                <w:sz w:val="24"/>
                <w:szCs w:val="24"/>
                <w:rtl/>
              </w:rPr>
              <w:t>روشن ساختن پالیسی های ارجاع مریضان و اجراآت متوقعه در مربوطات وزارت و میان مردم؛ رسیدگی به تضاد منافع حین راجع ساختن غیر ضروری مریضان به مراقبت های صحی خصوصی</w:t>
            </w:r>
          </w:p>
        </w:tc>
        <w:tc>
          <w:tcPr>
            <w:tcW w:w="903" w:type="dxa"/>
          </w:tcPr>
          <w:p w:rsidR="007317A2" w:rsidRPr="00097530" w:rsidRDefault="00C220DB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6.2.1</w:t>
            </w:r>
          </w:p>
          <w:p w:rsidR="00C220DB" w:rsidRPr="00097530" w:rsidRDefault="00C220DB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6.2.2</w:t>
            </w:r>
          </w:p>
        </w:tc>
      </w:tr>
      <w:tr w:rsidR="007317A2" w:rsidRPr="00097530" w:rsidTr="00881BE8">
        <w:tc>
          <w:tcPr>
            <w:tcW w:w="5148" w:type="dxa"/>
          </w:tcPr>
          <w:p w:rsidR="007317A2" w:rsidRPr="00097530" w:rsidRDefault="00C220DB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بهبود دسترسی عامه به خدمات امبولانس، افزایش اعتماد مردم و تمول کننده گان بالای سیستم صحت عامه</w:t>
            </w:r>
          </w:p>
        </w:tc>
        <w:tc>
          <w:tcPr>
            <w:tcW w:w="7107" w:type="dxa"/>
          </w:tcPr>
          <w:p w:rsidR="007317A2" w:rsidRPr="00097530" w:rsidRDefault="00C220DB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روشن ساختن مقررات در رابطه به استفاده شخصی از دارای های عامه؛ تنفیذ جدی قواعد علیه استفاده از دارایی عامه برای منافع شخصی</w:t>
            </w:r>
          </w:p>
        </w:tc>
        <w:tc>
          <w:tcPr>
            <w:tcW w:w="903" w:type="dxa"/>
          </w:tcPr>
          <w:p w:rsidR="007317A2" w:rsidRPr="00097530" w:rsidRDefault="00C220DB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8.1</w:t>
            </w:r>
          </w:p>
          <w:p w:rsidR="00C220DB" w:rsidRPr="00097530" w:rsidRDefault="00C220DB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8.2</w:t>
            </w:r>
          </w:p>
        </w:tc>
      </w:tr>
      <w:tr w:rsidR="007317A2" w:rsidRPr="00097530" w:rsidTr="00881BE8">
        <w:tc>
          <w:tcPr>
            <w:tcW w:w="5148" w:type="dxa"/>
          </w:tcPr>
          <w:p w:rsidR="007317A2" w:rsidRPr="00097530" w:rsidRDefault="00C220DB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مدیران سکتور صحت در وزارت صحت عامه و مؤسسات غیر دولتی و بین المللی میتوانند خلا ها در اجراات را شناسایی و به آن رسیدگی نموده، حین تقاضای بودجه و درخواست تخصیص اضافی دست آورد ها را توجیه نموده و شاخص های کلیدی و اقعیبینانه اجراات وزارت صحت عامه را در  آگاهی دهی وزارت مالیه، تصمیم گیرنده گان سیاسی و مردم پیرامون چگونگی استفاده از وجوه عامه غرض رفاه مردم کمک نموده و اعتماد بالای سکتور صحت افزایش میابد.   </w:t>
            </w:r>
          </w:p>
        </w:tc>
        <w:tc>
          <w:tcPr>
            <w:tcW w:w="7107" w:type="dxa"/>
          </w:tcPr>
          <w:p w:rsidR="007317A2" w:rsidRPr="00097530" w:rsidRDefault="00C220DB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دخیل ساختن کمیسیون مستقل تصدیق (اعتبار دهی) مؤسسات صحی  در انجام تحلیل و بررسی به منظور حمایت از ترتیب شاخص های معتبر و واقعبینانه در سکتور صحت عامه</w:t>
            </w:r>
          </w:p>
        </w:tc>
        <w:tc>
          <w:tcPr>
            <w:tcW w:w="903" w:type="dxa"/>
          </w:tcPr>
          <w:p w:rsidR="00C220DB" w:rsidRPr="00097530" w:rsidRDefault="00C220DB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12.1</w:t>
            </w:r>
          </w:p>
          <w:p w:rsidR="00C220DB" w:rsidRPr="00097530" w:rsidRDefault="00C220DB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12.2</w:t>
            </w:r>
          </w:p>
        </w:tc>
      </w:tr>
      <w:tr w:rsidR="007317A2" w:rsidRPr="00097530" w:rsidTr="00881BE8">
        <w:tc>
          <w:tcPr>
            <w:tcW w:w="5148" w:type="dxa"/>
          </w:tcPr>
          <w:p w:rsidR="007317A2" w:rsidRPr="00097530" w:rsidRDefault="00097530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کیفیت مراقبت های صحی بهبود یافته و اعتماد بالای سکتور صحت افزایش میابد</w:t>
            </w: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</w:tc>
        <w:tc>
          <w:tcPr>
            <w:tcW w:w="7107" w:type="dxa"/>
          </w:tcPr>
          <w:p w:rsidR="007317A2" w:rsidRPr="00097530" w:rsidRDefault="00C220DB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دخیل ساختن کمیسیون مستقل تصدیق (اعتبار دهی) مؤسسات صحی ، نهاد های جامعه مدنی و شورا های صحی غرض اشتراک در نظارت از شاخص های کلیدی اجراات وزارت صحت عامه و تنفیذ مجازات در صورت ناکامی در حصول شاخص های کلیدی اجراات</w:t>
            </w: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</w:tc>
        <w:tc>
          <w:tcPr>
            <w:tcW w:w="903" w:type="dxa"/>
          </w:tcPr>
          <w:p w:rsidR="007317A2" w:rsidRPr="00097530" w:rsidRDefault="00C220DB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12.3، 12.4، 12.5، 12.6</w:t>
            </w: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:</w:t>
            </w:r>
          </w:p>
        </w:tc>
      </w:tr>
      <w:tr w:rsidR="00C220DB" w:rsidRPr="00097530" w:rsidTr="00881BE8">
        <w:tc>
          <w:tcPr>
            <w:tcW w:w="5148" w:type="dxa"/>
          </w:tcPr>
          <w:p w:rsidR="00C220DB" w:rsidRPr="00097530" w:rsidRDefault="00097530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</w:rPr>
              <w:t>احیای مجدد اعتماد مردم و تمویل کننده گان بالای وزارت صحت عامه و بهبود مؤثریت سکتور صحت، کیفیت مراقبت های صحی، شفافیت و حکومتداری خوب</w:t>
            </w:r>
          </w:p>
        </w:tc>
        <w:tc>
          <w:tcPr>
            <w:tcW w:w="7107" w:type="dxa"/>
          </w:tcPr>
          <w:p w:rsidR="00C220DB" w:rsidRPr="00097530" w:rsidRDefault="00097530" w:rsidP="00097530">
            <w:pPr>
              <w:bidi/>
              <w:spacing w:before="120" w:after="120" w:line="276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</w:rPr>
              <w:t>تشکیل شورای عالی نظارت بر شفافیت سکتور صحت (</w:t>
            </w:r>
            <w:r w:rsidRPr="00097530">
              <w:rPr>
                <w:rFonts w:asciiTheme="majorBidi" w:hAnsiTheme="majorBidi" w:cstheme="majorBidi"/>
                <w:sz w:val="24"/>
                <w:szCs w:val="24"/>
              </w:rPr>
              <w:t>HCOHSI</w:t>
            </w: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) </w:t>
            </w: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</w:rPr>
              <w:t>متشکل از وزیر صحت عامه، رهبری ارشد وزارت صحت عامه، لوی</w:t>
            </w: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  <w:lang w:bidi="ps-AF"/>
              </w:rPr>
              <w:t xml:space="preserve"> څ</w:t>
            </w: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</w:rPr>
              <w:t xml:space="preserve">ارنوال، تمویل کننده گان سکتور صحت، نمایندۀ جامعه مدنی، نماینده گان شواری های صحی و مؤسسات تطبیق کننده </w:t>
            </w: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</w:rPr>
              <w:lastRenderedPageBreak/>
              <w:t>مجموع خدمات صحی اساسی و مجموعۀ خدمات  صحی شفاخانه یی. شورای عالی نظارت بر شفافیت سکتور صحی حد اقل بطور ربعوار تشکیل جلسه دهد</w:t>
            </w: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</w:rPr>
              <w:t>.</w:t>
            </w:r>
          </w:p>
        </w:tc>
        <w:tc>
          <w:tcPr>
            <w:tcW w:w="903" w:type="dxa"/>
          </w:tcPr>
          <w:p w:rsidR="00C220DB" w:rsidRPr="00097530" w:rsidRDefault="00097530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15.1</w:t>
            </w:r>
          </w:p>
        </w:tc>
      </w:tr>
    </w:tbl>
    <w:p w:rsidR="00097530" w:rsidRPr="00097530" w:rsidRDefault="00097530" w:rsidP="00097530">
      <w:pPr>
        <w:pStyle w:val="ListParagraph"/>
        <w:numPr>
          <w:ilvl w:val="0"/>
          <w:numId w:val="3"/>
        </w:numPr>
        <w:bidi/>
        <w:jc w:val="lowKashida"/>
        <w:rPr>
          <w:rFonts w:asciiTheme="majorBidi" w:hAnsiTheme="majorBidi" w:cstheme="majorBidi" w:hint="cs"/>
          <w:b/>
          <w:bCs/>
        </w:rPr>
      </w:pPr>
      <w:r w:rsidRPr="00097530">
        <w:rPr>
          <w:rFonts w:asciiTheme="majorBidi" w:hAnsiTheme="majorBidi" w:cstheme="majorBidi" w:hint="cs"/>
          <w:b/>
          <w:bCs/>
          <w:rtl/>
        </w:rPr>
        <w:lastRenderedPageBreak/>
        <w:t>شورای مستقل گزارش دهی و تفتیش سکتور صحت</w:t>
      </w:r>
      <w:r w:rsidRPr="00097530">
        <w:rPr>
          <w:rFonts w:asciiTheme="majorBidi" w:hAnsiTheme="majorBidi" w:cstheme="majorBidi"/>
          <w:b/>
          <w:bCs/>
        </w:rPr>
        <w:t xml:space="preserve"> HCOHSI</w:t>
      </w:r>
    </w:p>
    <w:p w:rsidR="00097530" w:rsidRPr="00097530" w:rsidRDefault="00097530" w:rsidP="00097530">
      <w:pPr>
        <w:pStyle w:val="ListParagraph"/>
        <w:numPr>
          <w:ilvl w:val="0"/>
          <w:numId w:val="3"/>
        </w:numPr>
        <w:bidi/>
        <w:jc w:val="lowKashida"/>
        <w:rPr>
          <w:rFonts w:asciiTheme="majorBidi" w:hAnsiTheme="majorBidi" w:cstheme="majorBidi" w:hint="cs"/>
          <w:b/>
          <w:bCs/>
        </w:rPr>
      </w:pPr>
      <w:r w:rsidRPr="00097530">
        <w:rPr>
          <w:rFonts w:asciiTheme="majorBidi" w:hAnsiTheme="majorBidi" w:cstheme="majorBidi" w:hint="cs"/>
          <w:b/>
          <w:bCs/>
          <w:rtl/>
        </w:rPr>
        <w:t>دفتر آمبدزمن سکتور صحت</w:t>
      </w:r>
      <w:r w:rsidRPr="00097530">
        <w:rPr>
          <w:rFonts w:asciiTheme="majorBidi" w:hAnsiTheme="majorBidi" w:cstheme="majorBidi"/>
          <w:b/>
          <w:bCs/>
        </w:rPr>
        <w:t>ICHSAR</w:t>
      </w:r>
    </w:p>
    <w:p w:rsidR="00097530" w:rsidRPr="00097530" w:rsidRDefault="00097530" w:rsidP="00097530">
      <w:pPr>
        <w:pStyle w:val="ListParagraph"/>
        <w:numPr>
          <w:ilvl w:val="0"/>
          <w:numId w:val="3"/>
        </w:numPr>
        <w:bidi/>
        <w:jc w:val="lowKashida"/>
        <w:rPr>
          <w:rFonts w:asciiTheme="majorBidi" w:hAnsiTheme="majorBidi" w:cstheme="majorBidi" w:hint="cs"/>
          <w:b/>
          <w:bCs/>
        </w:rPr>
      </w:pPr>
      <w:r w:rsidRPr="00097530">
        <w:rPr>
          <w:rFonts w:asciiTheme="majorBidi" w:hAnsiTheme="majorBidi" w:cstheme="majorBidi" w:hint="cs"/>
          <w:b/>
          <w:bCs/>
          <w:rtl/>
        </w:rPr>
        <w:t>کمیسیون مستقل اعتباردهی موسسات صحی</w:t>
      </w:r>
      <w:r w:rsidRPr="00097530">
        <w:rPr>
          <w:rFonts w:asciiTheme="majorBidi" w:hAnsiTheme="majorBidi" w:cstheme="majorBidi"/>
          <w:b/>
          <w:bCs/>
        </w:rPr>
        <w:t>ICAHO</w:t>
      </w:r>
    </w:p>
    <w:p w:rsidR="00097530" w:rsidRDefault="00097530" w:rsidP="00097530">
      <w:pPr>
        <w:pStyle w:val="ListParagraph"/>
        <w:numPr>
          <w:ilvl w:val="0"/>
          <w:numId w:val="3"/>
        </w:numPr>
        <w:bidi/>
        <w:jc w:val="lowKashida"/>
        <w:rPr>
          <w:rFonts w:asciiTheme="majorBidi" w:hAnsiTheme="majorBidi" w:cstheme="majorBidi"/>
          <w:b/>
          <w:bCs/>
        </w:rPr>
      </w:pPr>
      <w:r w:rsidRPr="00097530">
        <w:rPr>
          <w:rFonts w:asciiTheme="majorBidi" w:hAnsiTheme="majorBidi" w:cstheme="majorBidi" w:hint="cs"/>
          <w:b/>
          <w:bCs/>
          <w:rtl/>
        </w:rPr>
        <w:t>شورای عالی نظارت از سکتور صحت (</w:t>
      </w:r>
      <w:r w:rsidRPr="00097530">
        <w:rPr>
          <w:rFonts w:asciiTheme="majorBidi" w:hAnsiTheme="majorBidi" w:cstheme="majorBidi"/>
          <w:b/>
          <w:bCs/>
        </w:rPr>
        <w:t>(HCOHSI</w:t>
      </w:r>
    </w:p>
    <w:p w:rsidR="00097530" w:rsidRPr="00097530" w:rsidRDefault="00097530" w:rsidP="00097530">
      <w:pPr>
        <w:pStyle w:val="ListParagraph"/>
        <w:bidi/>
        <w:jc w:val="lowKashida"/>
        <w:rPr>
          <w:rFonts w:asciiTheme="majorBidi" w:hAnsiTheme="majorBidi" w:cstheme="majorBidi" w:hint="cs"/>
          <w:b/>
          <w:bCs/>
          <w:rtl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5"/>
        <w:gridCol w:w="7089"/>
        <w:gridCol w:w="952"/>
      </w:tblGrid>
      <w:tr w:rsidR="007317A2" w:rsidRPr="00097530" w:rsidTr="007317A2">
        <w:tc>
          <w:tcPr>
            <w:tcW w:w="13158" w:type="dxa"/>
            <w:gridSpan w:val="3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فرصت های مشارکت شوراهای صحی در نظارت از تطبیق سفارشات... آیا موارد ذیل برای </w:t>
            </w:r>
            <w:r w:rsidRPr="000975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انجوها و نهادهای جامعه مدنی</w:t>
            </w:r>
            <w:r w:rsidRPr="0009753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نیز فرصتی خواهد بود تا در پروسه سهیم شوند؟</w:t>
            </w:r>
          </w:p>
        </w:tc>
      </w:tr>
      <w:tr w:rsidR="007317A2" w:rsidRPr="00097530" w:rsidTr="007317A2">
        <w:tc>
          <w:tcPr>
            <w:tcW w:w="5148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نتایج متوقعه</w:t>
            </w:r>
          </w:p>
        </w:tc>
        <w:tc>
          <w:tcPr>
            <w:tcW w:w="7107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سفارش</w:t>
            </w:r>
          </w:p>
        </w:tc>
        <w:tc>
          <w:tcPr>
            <w:tcW w:w="903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شماره</w:t>
            </w:r>
          </w:p>
        </w:tc>
      </w:tr>
      <w:tr w:rsidR="007317A2" w:rsidRPr="00097530" w:rsidTr="007317A2">
        <w:tc>
          <w:tcPr>
            <w:tcW w:w="5148" w:type="dxa"/>
          </w:tcPr>
          <w:p w:rsidR="007317A2" w:rsidRPr="00097530" w:rsidRDefault="007317A2" w:rsidP="00097530">
            <w:pPr>
              <w:bidi/>
              <w:spacing w:before="120" w:after="120" w:line="276" w:lineRule="auto"/>
              <w:jc w:val="lowKashida"/>
              <w:rPr>
                <w:rFonts w:asciiTheme="majorBidi" w:hAnsiTheme="majorBidi" w:cstheme="majorBidi"/>
                <w:iCs/>
                <w:sz w:val="24"/>
                <w:szCs w:val="24"/>
                <w:rtl/>
                <w:lang w:bidi="fa-IR"/>
              </w:rPr>
            </w:pPr>
            <w:r w:rsidRPr="00097530">
              <w:rPr>
                <w:rFonts w:asciiTheme="majorBidi" w:hAnsiTheme="majorBidi" w:cstheme="majorBidi"/>
                <w:i/>
                <w:sz w:val="24"/>
                <w:szCs w:val="24"/>
                <w:u w:val="single"/>
                <w:rtl/>
                <w:lang w:bidi="fa-IR"/>
              </w:rPr>
              <w:t>نتایج متوقعه</w:t>
            </w: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  <w:lang w:bidi="fa-IR"/>
              </w:rPr>
              <w:t>: احیای مجدد حسابدهی، شفافیت و حکومتداری خوب و فراهم آوری زمینه برای مریضان و خانواده های شان تا بطور صادقانه تداوی گردند و خطرات اخاذی، مورد سوء استفاده قرار گرفتن یا رفتار دوگانه کاهش میابد</w:t>
            </w:r>
            <w:r w:rsidRPr="00097530">
              <w:rPr>
                <w:rFonts w:asciiTheme="majorBidi" w:hAnsiTheme="majorBidi" w:cstheme="majorBidi"/>
                <w:iCs/>
                <w:sz w:val="24"/>
                <w:szCs w:val="24"/>
                <w:rtl/>
                <w:lang w:bidi="fa-IR"/>
              </w:rPr>
              <w:t xml:space="preserve">. </w:t>
            </w:r>
          </w:p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07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سفارش 13.1</w:t>
            </w: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</w:rPr>
              <w:t xml:space="preserve">: ایجاد یک سیسیتم واحد و مستقل گزارش دهی برای شکایات از طریق ایجاد یک دفتر بررسی شکایات سکتور صحت در شورای مستقل تفتیش و گزارش دهی سکتور صحت و تامین ارتباط  آن با </w:t>
            </w: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  <w:lang w:bidi="fa-IR"/>
              </w:rPr>
              <w:t>شورا های صحی انکشاف یافته و با صلاحیت</w:t>
            </w:r>
          </w:p>
        </w:tc>
        <w:tc>
          <w:tcPr>
            <w:tcW w:w="903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13.1</w:t>
            </w:r>
          </w:p>
        </w:tc>
      </w:tr>
      <w:tr w:rsidR="007317A2" w:rsidRPr="00097530" w:rsidTr="007317A2">
        <w:tc>
          <w:tcPr>
            <w:tcW w:w="5148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</w:rPr>
              <w:t>افزایش اعتماد مردم بالای سکتور صحت</w:t>
            </w:r>
          </w:p>
        </w:tc>
        <w:tc>
          <w:tcPr>
            <w:tcW w:w="7107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</w:rPr>
              <w:t>مجادله علیه غیر حاضری در اوقات رسمی کاری در مراکز خدمات صحی اساسی و مراکز خدمات صحی شفاخانه یی؛ دخیل ساختن شورای مستقل تفتیش و گزارش دهی سکتور صحت (</w:t>
            </w:r>
            <w:r w:rsidRPr="00097530">
              <w:rPr>
                <w:rFonts w:asciiTheme="majorBidi" w:hAnsiTheme="majorBidi" w:cstheme="majorBidi"/>
                <w:i/>
                <w:sz w:val="24"/>
                <w:szCs w:val="24"/>
              </w:rPr>
              <w:t>ICHSAR</w:t>
            </w: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  <w:lang w:bidi="fa-IR"/>
              </w:rPr>
              <w:t>)</w:t>
            </w: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</w:rPr>
              <w:t xml:space="preserve"> و تفویض صلاحیت به شورا های صحی غرض اشتراک در نظارت از غیر حاضری در سکتور صحت.</w:t>
            </w:r>
          </w:p>
        </w:tc>
        <w:tc>
          <w:tcPr>
            <w:tcW w:w="903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097530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6.1.3</w:t>
            </w:r>
          </w:p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097530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6.1.4</w:t>
            </w:r>
          </w:p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6.1.5</w:t>
            </w:r>
          </w:p>
        </w:tc>
      </w:tr>
      <w:tr w:rsidR="007317A2" w:rsidRPr="00097530" w:rsidTr="007317A2">
        <w:tc>
          <w:tcPr>
            <w:tcW w:w="5148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</w:rPr>
              <w:t>افزایش اعتماد مردم بالای سکتور خصوصی و کاهش اخاذی</w:t>
            </w:r>
          </w:p>
        </w:tc>
        <w:tc>
          <w:tcPr>
            <w:tcW w:w="7107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</w:rPr>
              <w:t>تنفیذ پالیسی های تضاد منافع جهت جلوگیری از راجع سازی بی مورد مریضان سکتور عامه به سکتور خصوصی؛ دخیل ساختن شورای مستقل تفتیش و گزارش دهی سکتور صحت (</w:t>
            </w:r>
            <w:r w:rsidRPr="00097530">
              <w:rPr>
                <w:rFonts w:asciiTheme="majorBidi" w:hAnsiTheme="majorBidi" w:cstheme="majorBidi"/>
                <w:i/>
                <w:sz w:val="24"/>
                <w:szCs w:val="24"/>
              </w:rPr>
              <w:t>ICHSAR</w:t>
            </w: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</w:rPr>
              <w:t>) و تفویض صلاحیت به شورا های صحی غرض اشتراک در نظارت از تضاد منافع.</w:t>
            </w:r>
          </w:p>
        </w:tc>
        <w:tc>
          <w:tcPr>
            <w:tcW w:w="903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6.2.4، 6.2.5، 6.2.6</w:t>
            </w:r>
          </w:p>
        </w:tc>
      </w:tr>
      <w:tr w:rsidR="007317A2" w:rsidRPr="00097530" w:rsidTr="007317A2">
        <w:tc>
          <w:tcPr>
            <w:tcW w:w="5148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</w:rPr>
              <w:t>افزایش دسترسی مردم به خدمات امبولانس، افزایش سطح اعتماد مردم بالای سیستم صحت عامه و تقویه اعتماد تمویل کننده گان بالای تفتیش و گزارش دهی در سکتور صحی</w:t>
            </w:r>
          </w:p>
        </w:tc>
        <w:tc>
          <w:tcPr>
            <w:tcW w:w="7107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</w:rPr>
              <w:t>تنفیذ مقررات در برابر استفاده از دارایی های عامه برای منافع شخصی؛ دخیل ساختن شورای مستقل تفتیش و گزارش دهی سکتور صحت (</w:t>
            </w:r>
            <w:r w:rsidRPr="00097530">
              <w:rPr>
                <w:rFonts w:asciiTheme="majorBidi" w:hAnsiTheme="majorBidi" w:cstheme="majorBidi"/>
                <w:i/>
                <w:sz w:val="24"/>
                <w:szCs w:val="24"/>
              </w:rPr>
              <w:t>ICHSAR</w:t>
            </w: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  <w:lang w:bidi="fa-IR"/>
              </w:rPr>
              <w:t>)</w:t>
            </w: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</w:rPr>
              <w:t xml:space="preserve"> و تفویض صلاحیت به شورا های صحی غرض نظارت از استفاده امبولانس ها. </w:t>
            </w:r>
          </w:p>
        </w:tc>
        <w:tc>
          <w:tcPr>
            <w:tcW w:w="903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8.2، 8.3، 8.4، 8.5</w:t>
            </w:r>
          </w:p>
        </w:tc>
      </w:tr>
      <w:tr w:rsidR="007317A2" w:rsidRPr="00097530" w:rsidTr="007317A2">
        <w:tc>
          <w:tcPr>
            <w:tcW w:w="5148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</w:rPr>
              <w:t>اعتماد مردم بالای سکتور صحت افزایش خواهد یافت</w:t>
            </w:r>
          </w:p>
        </w:tc>
        <w:tc>
          <w:tcPr>
            <w:tcW w:w="7107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</w:rPr>
              <w:t>دخیل ساختن کمیسیون مستقل تصدیق (اعتبار دهی) مؤسسات صحی  در ترتیب و تطبیق پالیسی های تضاد منافع و نحوۀ ارجاع مریضان به سکتور خصوصی صحت و دخیل ساختن کمیسیون مستقل تفتیش و گزارش دهی از سکتور صحت و شورا های صحی در نظارت از تضاد منافع</w:t>
            </w:r>
          </w:p>
        </w:tc>
        <w:tc>
          <w:tcPr>
            <w:tcW w:w="903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17</w:t>
            </w:r>
          </w:p>
        </w:tc>
      </w:tr>
      <w:tr w:rsidR="007317A2" w:rsidRPr="00097530" w:rsidTr="007317A2">
        <w:tc>
          <w:tcPr>
            <w:tcW w:w="5148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</w:rPr>
              <w:lastRenderedPageBreak/>
              <w:t>افزایش اعتماد مردم و تمویل کننده گان بالای سیستم صحت عامه</w:t>
            </w:r>
          </w:p>
        </w:tc>
        <w:tc>
          <w:tcPr>
            <w:tcW w:w="7107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</w:rPr>
              <w:t>دخیل ساختن شوراهای صحی به منظور اشتراک در نظارت از تقاضای رشوه؛ دخیل ساختن دفتر مستقل بررسی شکایات سکتور صحی (</w:t>
            </w:r>
            <w:r w:rsidRPr="00097530">
              <w:rPr>
                <w:rFonts w:asciiTheme="majorBidi" w:hAnsiTheme="majorBidi" w:cstheme="majorBidi"/>
                <w:i/>
                <w:sz w:val="24"/>
                <w:szCs w:val="24"/>
              </w:rPr>
              <w:t>HSOO</w:t>
            </w:r>
            <w:r w:rsidRPr="00097530">
              <w:rPr>
                <w:rFonts w:asciiTheme="majorBidi" w:hAnsiTheme="majorBidi" w:cstheme="majorBidi"/>
                <w:i/>
                <w:sz w:val="24"/>
                <w:szCs w:val="24"/>
                <w:rtl/>
              </w:rPr>
              <w:t xml:space="preserve">)  به منظور تحقیق، تعقیب عدلی، و نشر قضایای بزرگ رشوه ستانی در تمام سطوح کارمندان وزارت صحت عامه و تطبیق کنندگان مجموعۀ عرضۀ خدمات صحی اساسی و مجموعۀ خدمات صحی شفاخانه یی در مرکز و ولایات. </w:t>
            </w:r>
          </w:p>
        </w:tc>
        <w:tc>
          <w:tcPr>
            <w:tcW w:w="903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19.2.1، 19.2.2، 19.2.3</w:t>
            </w:r>
          </w:p>
        </w:tc>
      </w:tr>
    </w:tbl>
    <w:p w:rsidR="007317A2" w:rsidRPr="00097530" w:rsidRDefault="007317A2" w:rsidP="00097530">
      <w:pPr>
        <w:bidi/>
        <w:jc w:val="lowKashida"/>
        <w:rPr>
          <w:rFonts w:asciiTheme="majorBidi" w:hAnsiTheme="majorBidi" w:cstheme="majorBidi"/>
          <w:sz w:val="24"/>
          <w:szCs w:val="24"/>
          <w:lang w:bidi="fa-IR"/>
        </w:rPr>
      </w:pPr>
    </w:p>
    <w:sectPr w:rsidR="007317A2" w:rsidRPr="00097530" w:rsidSect="000B4C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3084F"/>
    <w:multiLevelType w:val="multilevel"/>
    <w:tmpl w:val="BCE2A2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  <w:sz w:val="24"/>
      </w:rPr>
    </w:lvl>
  </w:abstractNum>
  <w:abstractNum w:abstractNumId="1">
    <w:nsid w:val="311A7B5D"/>
    <w:multiLevelType w:val="hybridMultilevel"/>
    <w:tmpl w:val="F44A3DD2"/>
    <w:lvl w:ilvl="0" w:tplc="D902B30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31153"/>
    <w:multiLevelType w:val="multilevel"/>
    <w:tmpl w:val="B9EC1B8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55"/>
    <w:rsid w:val="00097530"/>
    <w:rsid w:val="000B4CC7"/>
    <w:rsid w:val="003D40ED"/>
    <w:rsid w:val="007317A2"/>
    <w:rsid w:val="00B61255"/>
    <w:rsid w:val="00C2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20DB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20DB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1</cp:revision>
  <dcterms:created xsi:type="dcterms:W3CDTF">2016-09-27T20:41:00Z</dcterms:created>
  <dcterms:modified xsi:type="dcterms:W3CDTF">2016-09-27T21:39:00Z</dcterms:modified>
</cp:coreProperties>
</file>