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C9C" w:rsidRDefault="006A1C9C" w:rsidP="006A1C9C">
      <w:pPr>
        <w:tabs>
          <w:tab w:val="left" w:pos="6990"/>
        </w:tabs>
        <w:jc w:val="right"/>
        <w:rPr>
          <w:rFonts w:ascii="Times New Roman" w:hAnsi="Times New Roman" w:cs="Times New Roman"/>
          <w:b/>
          <w:bCs/>
          <w:sz w:val="24"/>
          <w:szCs w:val="24"/>
        </w:rPr>
      </w:pPr>
      <w:r>
        <w:rPr>
          <w:rFonts w:ascii="Times New Roman" w:hAnsi="Times New Roman" w:cs="Times New Roman"/>
          <w:b/>
          <w:bCs/>
          <w:noProof/>
          <w:sz w:val="24"/>
          <w:szCs w:val="24"/>
        </w:rPr>
        <w:pict>
          <v:rect id="_x0000_s1026" style="position:absolute;left:0;text-align:left;margin-left:34.85pt;margin-top:-17.3pt;width:75.95pt;height:76.75pt;z-index:251658240" stroked="f">
            <v:fill r:id="rId7" o:title="logo of ALSO" recolor="t" rotate="t" type="frame"/>
          </v:rect>
        </w:pict>
      </w:r>
      <w:r>
        <w:rPr>
          <w:rFonts w:ascii="Times New Roman" w:hAnsi="Times New Roman" w:cs="Times New Roman"/>
          <w:b/>
          <w:bCs/>
          <w:noProof/>
          <w:sz w:val="24"/>
          <w:szCs w:val="24"/>
        </w:rPr>
        <w:drawing>
          <wp:anchor distT="0" distB="0" distL="114300" distR="114300" simplePos="0" relativeHeight="251659264" behindDoc="1" locked="0" layoutInCell="1" allowOverlap="1">
            <wp:simplePos x="0" y="0"/>
            <wp:positionH relativeFrom="column">
              <wp:posOffset>4133850</wp:posOffset>
            </wp:positionH>
            <wp:positionV relativeFrom="paragraph">
              <wp:posOffset>-57150</wp:posOffset>
            </wp:positionV>
            <wp:extent cx="1457325" cy="895350"/>
            <wp:effectExtent l="19050" t="0" r="9525" b="0"/>
            <wp:wrapTight wrapText="bothSides">
              <wp:wrapPolygon edited="0">
                <wp:start x="-282" y="0"/>
                <wp:lineTo x="-282" y="21140"/>
                <wp:lineTo x="21741" y="21140"/>
                <wp:lineTo x="21741" y="0"/>
                <wp:lineTo x="-282" y="0"/>
              </wp:wrapPolygon>
            </wp:wrapTight>
            <wp:docPr id="1" name="Picture 1" descr="ICBL logo with Nobel Prize (without URL) (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BL logo with Nobel Prize (without URL) (JPEG)"/>
                    <pic:cNvPicPr>
                      <a:picLocks noChangeAspect="1" noChangeArrowheads="1"/>
                    </pic:cNvPicPr>
                  </pic:nvPicPr>
                  <pic:blipFill>
                    <a:blip r:embed="rId8"/>
                    <a:srcRect/>
                    <a:stretch>
                      <a:fillRect/>
                    </a:stretch>
                  </pic:blipFill>
                  <pic:spPr bwMode="auto">
                    <a:xfrm>
                      <a:off x="0" y="0"/>
                      <a:ext cx="1457325" cy="895350"/>
                    </a:xfrm>
                    <a:prstGeom prst="rect">
                      <a:avLst/>
                    </a:prstGeom>
                    <a:noFill/>
                    <a:ln w="9525">
                      <a:noFill/>
                      <a:miter lim="800000"/>
                      <a:headEnd/>
                      <a:tailEnd/>
                    </a:ln>
                  </pic:spPr>
                </pic:pic>
              </a:graphicData>
            </a:graphic>
          </wp:anchor>
        </w:drawing>
      </w:r>
      <w:r>
        <w:rPr>
          <w:rFonts w:ascii="Times New Roman" w:hAnsi="Times New Roman" w:cs="Times New Roman"/>
          <w:b/>
          <w:bCs/>
          <w:sz w:val="24"/>
          <w:szCs w:val="24"/>
        </w:rPr>
        <w:tab/>
      </w:r>
    </w:p>
    <w:p w:rsidR="006A1C9C" w:rsidRDefault="006A1C9C" w:rsidP="006A1C9C">
      <w:pPr>
        <w:jc w:val="center"/>
        <w:rPr>
          <w:rFonts w:ascii="Times New Roman" w:hAnsi="Times New Roman" w:cs="Times New Roman"/>
          <w:b/>
          <w:bCs/>
          <w:sz w:val="24"/>
          <w:szCs w:val="24"/>
        </w:rPr>
      </w:pPr>
    </w:p>
    <w:p w:rsidR="006A1C9C" w:rsidRDefault="006A1C9C" w:rsidP="00C30DB2">
      <w:pPr>
        <w:rPr>
          <w:rFonts w:ascii="Times New Roman" w:hAnsi="Times New Roman" w:cs="Times New Roman"/>
          <w:b/>
          <w:bCs/>
          <w:sz w:val="24"/>
          <w:szCs w:val="24"/>
        </w:rPr>
      </w:pPr>
    </w:p>
    <w:p w:rsidR="006A1C9C" w:rsidRDefault="006A1C9C" w:rsidP="006A1C9C">
      <w:pPr>
        <w:jc w:val="center"/>
        <w:rPr>
          <w:rFonts w:ascii="Times New Roman" w:hAnsi="Times New Roman" w:cs="Times New Roman"/>
          <w:b/>
          <w:bCs/>
          <w:sz w:val="24"/>
          <w:szCs w:val="24"/>
        </w:rPr>
      </w:pPr>
    </w:p>
    <w:p w:rsidR="00C30DB2" w:rsidRPr="006A1C9C" w:rsidRDefault="00D11B50" w:rsidP="006A1C9C">
      <w:pPr>
        <w:jc w:val="center"/>
        <w:rPr>
          <w:rFonts w:ascii="Times New Roman" w:hAnsi="Times New Roman" w:cs="Times New Roman"/>
          <w:b/>
          <w:bCs/>
          <w:sz w:val="32"/>
          <w:szCs w:val="32"/>
        </w:rPr>
      </w:pPr>
      <w:r w:rsidRPr="006A1C9C">
        <w:rPr>
          <w:rFonts w:ascii="Times New Roman" w:hAnsi="Times New Roman" w:cs="Times New Roman"/>
          <w:b/>
          <w:bCs/>
          <w:sz w:val="32"/>
          <w:szCs w:val="32"/>
        </w:rPr>
        <w:t>2015</w:t>
      </w:r>
      <w:r w:rsidR="005537AE" w:rsidRPr="006A1C9C">
        <w:rPr>
          <w:rFonts w:ascii="Times New Roman" w:hAnsi="Times New Roman" w:cs="Times New Roman"/>
          <w:b/>
          <w:bCs/>
          <w:sz w:val="32"/>
          <w:szCs w:val="32"/>
        </w:rPr>
        <w:t xml:space="preserve"> Landmine Monitor Report, Afghanistan</w:t>
      </w:r>
    </w:p>
    <w:p w:rsidR="00C30DB2" w:rsidRPr="00384E46" w:rsidRDefault="00C30DB2" w:rsidP="00C30DB2">
      <w:pPr>
        <w:rPr>
          <w:rFonts w:ascii="Times New Roman" w:hAnsi="Times New Roman" w:cs="Times New Roman"/>
          <w:b/>
          <w:bCs/>
          <w:sz w:val="24"/>
          <w:szCs w:val="24"/>
        </w:rPr>
      </w:pPr>
      <w:r w:rsidRPr="00384E46">
        <w:rPr>
          <w:rFonts w:ascii="Times New Roman" w:hAnsi="Times New Roman" w:cs="Times New Roman"/>
          <w:b/>
          <w:bCs/>
          <w:sz w:val="24"/>
          <w:szCs w:val="24"/>
        </w:rPr>
        <w:t>Ban</w:t>
      </w:r>
      <w:r w:rsidR="00791045" w:rsidRPr="00384E46">
        <w:rPr>
          <w:rFonts w:ascii="Times New Roman" w:hAnsi="Times New Roman" w:cs="Times New Roman"/>
          <w:b/>
          <w:bCs/>
          <w:sz w:val="24"/>
          <w:szCs w:val="24"/>
        </w:rPr>
        <w:t xml:space="preserve"> Policy</w:t>
      </w:r>
    </w:p>
    <w:p w:rsidR="00C30DB2" w:rsidRPr="00384E46" w:rsidRDefault="00C30DB2" w:rsidP="00C30DB2">
      <w:pPr>
        <w:rPr>
          <w:rFonts w:ascii="Times New Roman" w:hAnsi="Times New Roman" w:cs="Times New Roman"/>
          <w:b/>
          <w:sz w:val="24"/>
          <w:szCs w:val="24"/>
        </w:rPr>
      </w:pPr>
      <w:r w:rsidRPr="00384E46">
        <w:rPr>
          <w:rFonts w:ascii="Times New Roman" w:hAnsi="Times New Roman" w:cs="Times New Roman"/>
          <w:b/>
          <w:sz w:val="24"/>
          <w:szCs w:val="24"/>
        </w:rPr>
        <w:t>Use by non-state armed groups</w:t>
      </w:r>
      <w:r w:rsidR="004A401F" w:rsidRPr="00384E46">
        <w:rPr>
          <w:rFonts w:ascii="Times New Roman" w:hAnsi="Times New Roman" w:cs="Times New Roman"/>
          <w:b/>
          <w:sz w:val="24"/>
          <w:szCs w:val="24"/>
        </w:rPr>
        <w:t xml:space="preserve"> (</w:t>
      </w:r>
      <w:r w:rsidR="004A401F" w:rsidRPr="00384E46">
        <w:rPr>
          <w:rFonts w:ascii="Times New Roman" w:hAnsi="Times New Roman" w:cs="Times New Roman"/>
          <w:sz w:val="24"/>
          <w:szCs w:val="24"/>
        </w:rPr>
        <w:t>NSAGs)</w:t>
      </w:r>
    </w:p>
    <w:p w:rsidR="00C30DB2" w:rsidRPr="00384E46" w:rsidRDefault="00791045" w:rsidP="00C30DB2">
      <w:pPr>
        <w:rPr>
          <w:rFonts w:ascii="Times New Roman" w:hAnsi="Times New Roman" w:cs="Times New Roman"/>
          <w:sz w:val="24"/>
          <w:szCs w:val="24"/>
        </w:rPr>
      </w:pPr>
      <w:r w:rsidRPr="00384E46">
        <w:rPr>
          <w:rFonts w:ascii="Times New Roman" w:hAnsi="Times New Roman" w:cs="Times New Roman"/>
          <w:sz w:val="24"/>
          <w:szCs w:val="24"/>
        </w:rPr>
        <w:t xml:space="preserve">Use: </w:t>
      </w:r>
      <w:r w:rsidR="00C30DB2" w:rsidRPr="00384E46">
        <w:rPr>
          <w:rFonts w:ascii="Times New Roman" w:hAnsi="Times New Roman" w:cs="Times New Roman"/>
          <w:sz w:val="24"/>
          <w:szCs w:val="24"/>
        </w:rPr>
        <w:t>Over the past year, non-state armed groups (NSAGs) have used antipersonnel landmines in 10 countries</w:t>
      </w:r>
      <w:r w:rsidR="004A401F" w:rsidRPr="00384E46">
        <w:rPr>
          <w:rFonts w:ascii="Times New Roman" w:hAnsi="Times New Roman" w:cs="Times New Roman"/>
          <w:sz w:val="24"/>
          <w:szCs w:val="24"/>
        </w:rPr>
        <w:t>,</w:t>
      </w:r>
      <w:r w:rsidR="00C30DB2" w:rsidRPr="00384E46">
        <w:rPr>
          <w:rStyle w:val="FootnoteReference"/>
          <w:rFonts w:ascii="Times New Roman" w:hAnsi="Times New Roman" w:cs="Times New Roman"/>
          <w:sz w:val="24"/>
          <w:szCs w:val="24"/>
        </w:rPr>
        <w:footnoteReference w:id="2"/>
      </w:r>
      <w:r w:rsidR="004A401F" w:rsidRPr="00384E46">
        <w:rPr>
          <w:rFonts w:ascii="Times New Roman" w:hAnsi="Times New Roman" w:cs="Times New Roman"/>
          <w:sz w:val="24"/>
          <w:szCs w:val="24"/>
        </w:rPr>
        <w:t>w</w:t>
      </w:r>
      <w:r w:rsidR="00C30DB2" w:rsidRPr="00384E46">
        <w:rPr>
          <w:rFonts w:ascii="Times New Roman" w:hAnsi="Times New Roman" w:cs="Times New Roman"/>
          <w:sz w:val="24"/>
          <w:szCs w:val="24"/>
        </w:rPr>
        <w:t xml:space="preserve">ith continued large-scale use of victim-activated improvised mines </w:t>
      </w:r>
      <w:r w:rsidR="004A401F" w:rsidRPr="00384E46">
        <w:rPr>
          <w:rFonts w:ascii="Times New Roman" w:hAnsi="Times New Roman" w:cs="Times New Roman"/>
          <w:sz w:val="24"/>
          <w:szCs w:val="24"/>
        </w:rPr>
        <w:t xml:space="preserve">(victim-activated IEDs) </w:t>
      </w:r>
      <w:r w:rsidR="00C30DB2" w:rsidRPr="00384E46">
        <w:rPr>
          <w:rFonts w:ascii="Times New Roman" w:hAnsi="Times New Roman" w:cs="Times New Roman"/>
          <w:sz w:val="24"/>
          <w:szCs w:val="24"/>
        </w:rPr>
        <w:t xml:space="preserve">across </w:t>
      </w:r>
      <w:r w:rsidR="00C30DB2" w:rsidRPr="00D11B50">
        <w:rPr>
          <w:rFonts w:ascii="Times New Roman" w:hAnsi="Times New Roman" w:cs="Times New Roman"/>
          <w:b/>
          <w:sz w:val="24"/>
          <w:szCs w:val="24"/>
        </w:rPr>
        <w:t>Afghanistan</w:t>
      </w:r>
      <w:r w:rsidR="004A401F" w:rsidRPr="00384E46">
        <w:rPr>
          <w:rFonts w:ascii="Times New Roman" w:hAnsi="Times New Roman" w:cs="Times New Roman"/>
          <w:sz w:val="24"/>
          <w:szCs w:val="24"/>
        </w:rPr>
        <w:t xml:space="preserve">. </w:t>
      </w:r>
      <w:r w:rsidR="00C30DB2" w:rsidRPr="00384E46">
        <w:rPr>
          <w:rFonts w:ascii="Times New Roman" w:hAnsi="Times New Roman" w:cs="Times New Roman"/>
          <w:sz w:val="24"/>
          <w:szCs w:val="24"/>
        </w:rPr>
        <w:t xml:space="preserve">In the reporting period, there were also reports of NSAG use of antivehicle mines in </w:t>
      </w:r>
      <w:r w:rsidR="00C30DB2" w:rsidRPr="00D11B50">
        <w:rPr>
          <w:rFonts w:ascii="Times New Roman" w:hAnsi="Times New Roman" w:cs="Times New Roman"/>
          <w:b/>
          <w:sz w:val="24"/>
          <w:szCs w:val="24"/>
        </w:rPr>
        <w:t>Afghanistan</w:t>
      </w:r>
      <w:r w:rsidR="00C30DB2" w:rsidRPr="00384E46">
        <w:rPr>
          <w:rFonts w:ascii="Times New Roman" w:hAnsi="Times New Roman" w:cs="Times New Roman"/>
          <w:sz w:val="24"/>
          <w:szCs w:val="24"/>
        </w:rPr>
        <w:t>.</w:t>
      </w:r>
    </w:p>
    <w:p w:rsidR="00C30DB2" w:rsidRPr="00384E46" w:rsidRDefault="00C30DB2" w:rsidP="004A401F">
      <w:pPr>
        <w:pBdr>
          <w:top w:val="nil"/>
          <w:left w:val="nil"/>
          <w:bottom w:val="nil"/>
          <w:right w:val="nil"/>
          <w:between w:val="nil"/>
          <w:bar w:val="nil"/>
        </w:pBdr>
        <w:jc w:val="both"/>
        <w:rPr>
          <w:rFonts w:ascii="Times New Roman" w:eastAsia="Arial Unicode MS" w:hAnsi="Times New Roman" w:cs="Times New Roman"/>
          <w:sz w:val="24"/>
          <w:szCs w:val="24"/>
          <w:u w:color="000000"/>
          <w:bdr w:val="nil"/>
        </w:rPr>
      </w:pPr>
      <w:r w:rsidRPr="00384E46">
        <w:rPr>
          <w:rFonts w:ascii="Times New Roman" w:eastAsia="Arial Unicode MS" w:hAnsi="Times New Roman" w:cs="Times New Roman"/>
          <w:sz w:val="24"/>
          <w:szCs w:val="24"/>
          <w:u w:color="000000"/>
          <w:bdr w:val="nil"/>
        </w:rPr>
        <w:t xml:space="preserve">The use of victim-activated improvised mines </w:t>
      </w:r>
      <w:r w:rsidR="004A401F" w:rsidRPr="00384E46">
        <w:rPr>
          <w:rFonts w:ascii="Times New Roman" w:hAnsi="Times New Roman" w:cs="Times New Roman"/>
          <w:sz w:val="24"/>
          <w:szCs w:val="24"/>
        </w:rPr>
        <w:t xml:space="preserve">(victim-activated IEDs) </w:t>
      </w:r>
      <w:r w:rsidRPr="00384E46">
        <w:rPr>
          <w:rFonts w:ascii="Times New Roman" w:eastAsia="Arial Unicode MS" w:hAnsi="Times New Roman" w:cs="Times New Roman"/>
          <w:sz w:val="24"/>
          <w:szCs w:val="24"/>
          <w:u w:color="000000"/>
          <w:bdr w:val="nil"/>
        </w:rPr>
        <w:t>continued in Afghanistan by armed groups, mainly the Taliban, the Haqqani Network, and Hezb-e-Islami, that oppose the government. The UN Assistance Mission in Afghanistan (UNAMA) reported that anti-government forces used victim-activated improvised mines in decreasing numbers during early 2016. Victim-activated (pressure plate) improvised mines were responsible for almost half of all casualties recorded from IEDs during the first half of 2016, down 17% from 2015</w:t>
      </w:r>
      <w:r w:rsidRPr="00384E46">
        <w:rPr>
          <w:rFonts w:ascii="Times New Roman" w:hAnsi="Times New Roman" w:cs="Times New Roman"/>
          <w:sz w:val="24"/>
          <w:szCs w:val="24"/>
        </w:rPr>
        <w:t>.</w:t>
      </w:r>
      <w:r w:rsidRPr="00384E46">
        <w:rPr>
          <w:rFonts w:ascii="Times New Roman" w:hAnsi="Times New Roman" w:cs="Times New Roman"/>
          <w:sz w:val="24"/>
          <w:szCs w:val="24"/>
          <w:u w:color="000000"/>
          <w:bdr w:val="nil"/>
          <w:vertAlign w:val="superscript"/>
        </w:rPr>
        <w:footnoteReference w:id="3"/>
      </w:r>
      <w:r w:rsidRPr="00384E46">
        <w:rPr>
          <w:rFonts w:ascii="Times New Roman" w:hAnsi="Times New Roman" w:cs="Times New Roman"/>
          <w:sz w:val="24"/>
          <w:szCs w:val="24"/>
        </w:rPr>
        <w:t xml:space="preserve">During this reporting period, NSAGs and criminal groups in Afghanistan were reported to possess stocks of factory-made antipersonnel mines or components to manufacture </w:t>
      </w:r>
      <w:r w:rsidR="004A401F" w:rsidRPr="00384E46">
        <w:rPr>
          <w:rFonts w:ascii="Times New Roman" w:hAnsi="Times New Roman" w:cs="Times New Roman"/>
          <w:sz w:val="24"/>
          <w:szCs w:val="24"/>
        </w:rPr>
        <w:t>improvised mines (</w:t>
      </w:r>
      <w:r w:rsidRPr="00384E46">
        <w:rPr>
          <w:rFonts w:ascii="Times New Roman" w:hAnsi="Times New Roman" w:cs="Times New Roman"/>
          <w:sz w:val="24"/>
          <w:szCs w:val="24"/>
        </w:rPr>
        <w:t>victim-activated IEDs).</w:t>
      </w:r>
    </w:p>
    <w:p w:rsidR="00C30DB2" w:rsidRPr="00384E46" w:rsidRDefault="004A401F">
      <w:pPr>
        <w:rPr>
          <w:rFonts w:ascii="Times New Roman" w:hAnsi="Times New Roman" w:cs="Times New Roman"/>
          <w:sz w:val="24"/>
          <w:szCs w:val="24"/>
        </w:rPr>
      </w:pPr>
      <w:r w:rsidRPr="00384E46">
        <w:rPr>
          <w:rFonts w:ascii="Times New Roman" w:hAnsi="Times New Roman" w:cs="Times New Roman"/>
          <w:sz w:val="24"/>
          <w:szCs w:val="24"/>
        </w:rPr>
        <w:t xml:space="preserve">Non-functioning antipersonnel mines in stocks for </w:t>
      </w:r>
      <w:r w:rsidR="00791045" w:rsidRPr="00384E46">
        <w:rPr>
          <w:rFonts w:ascii="Times New Roman" w:hAnsi="Times New Roman" w:cs="Times New Roman"/>
          <w:sz w:val="24"/>
          <w:szCs w:val="24"/>
        </w:rPr>
        <w:t xml:space="preserve">clearance </w:t>
      </w:r>
      <w:r w:rsidRPr="00384E46">
        <w:rPr>
          <w:rFonts w:ascii="Times New Roman" w:hAnsi="Times New Roman" w:cs="Times New Roman"/>
          <w:sz w:val="24"/>
          <w:szCs w:val="24"/>
        </w:rPr>
        <w:t xml:space="preserve">training: </w:t>
      </w:r>
      <w:r w:rsidR="00C30DB2" w:rsidRPr="00D11B50">
        <w:rPr>
          <w:rFonts w:ascii="Times New Roman" w:hAnsi="Times New Roman" w:cs="Times New Roman"/>
          <w:b/>
          <w:sz w:val="24"/>
          <w:szCs w:val="24"/>
        </w:rPr>
        <w:t>Afghanistan</w:t>
      </w:r>
      <w:r w:rsidR="00C30DB2" w:rsidRPr="00384E46">
        <w:rPr>
          <w:rFonts w:ascii="Times New Roman" w:hAnsi="Times New Roman" w:cs="Times New Roman"/>
          <w:sz w:val="24"/>
          <w:szCs w:val="24"/>
        </w:rPr>
        <w:t xml:space="preserve"> is among several States Parties that are still reporting as retained antipersonnel mines devices that are fuzeless, inert, rendered free from explosives, or otherwise irrevocably rendered incapable of functioning as an antipersonnel mine, including by the destruction of the fuzes. Technically, these are no longer considered antipersonnel mines as defined by the Mine Ban Treaty.</w:t>
      </w:r>
      <w:r w:rsidR="00C30DB2" w:rsidRPr="00384E46">
        <w:rPr>
          <w:rStyle w:val="FootnoteReference"/>
          <w:rFonts w:ascii="Times New Roman" w:hAnsi="Times New Roman" w:cs="Times New Roman"/>
          <w:sz w:val="24"/>
          <w:szCs w:val="24"/>
        </w:rPr>
        <w:footnoteReference w:id="4"/>
      </w:r>
    </w:p>
    <w:p w:rsidR="004A401F" w:rsidRPr="00384E46" w:rsidRDefault="004A401F" w:rsidP="004A401F">
      <w:pPr>
        <w:rPr>
          <w:rFonts w:ascii="Times New Roman" w:hAnsi="Times New Roman" w:cs="Times New Roman"/>
          <w:b/>
          <w:bCs/>
          <w:sz w:val="24"/>
          <w:szCs w:val="24"/>
        </w:rPr>
      </w:pPr>
      <w:r w:rsidRPr="00384E46">
        <w:rPr>
          <w:rFonts w:ascii="Times New Roman" w:hAnsi="Times New Roman" w:cs="Times New Roman"/>
          <w:b/>
          <w:bCs/>
          <w:sz w:val="24"/>
          <w:szCs w:val="24"/>
        </w:rPr>
        <w:t>Contamination and Clearance</w:t>
      </w:r>
    </w:p>
    <w:p w:rsidR="00C30DB2" w:rsidRPr="00384E46" w:rsidRDefault="00C30DB2" w:rsidP="00C30DB2">
      <w:pPr>
        <w:spacing w:before="240" w:after="0" w:line="240" w:lineRule="auto"/>
        <w:jc w:val="center"/>
        <w:outlineLvl w:val="0"/>
        <w:rPr>
          <w:rFonts w:ascii="Times New Roman" w:hAnsi="Times New Roman" w:cs="Times New Roman"/>
          <w:b/>
          <w:bCs/>
          <w:sz w:val="24"/>
          <w:szCs w:val="24"/>
        </w:rPr>
      </w:pPr>
      <w:r w:rsidRPr="00384E46">
        <w:rPr>
          <w:rFonts w:ascii="Times New Roman" w:hAnsi="Times New Roman" w:cs="Times New Roman"/>
          <w:b/>
          <w:bCs/>
          <w:sz w:val="24"/>
          <w:szCs w:val="24"/>
        </w:rPr>
        <w:t>Estimated extent of mine contamination at end of 2015</w:t>
      </w:r>
    </w:p>
    <w:tbl>
      <w:tblPr>
        <w:tblStyle w:val="TableGrid"/>
        <w:tblW w:w="9776" w:type="dxa"/>
        <w:tblLook w:val="04A0"/>
      </w:tblPr>
      <w:tblGrid>
        <w:gridCol w:w="9776"/>
      </w:tblGrid>
      <w:tr w:rsidR="00C30DB2" w:rsidRPr="00384E46" w:rsidTr="00250492">
        <w:tc>
          <w:tcPr>
            <w:tcW w:w="9776" w:type="dxa"/>
            <w:shd w:val="clear" w:color="auto" w:fill="BFBFBF" w:themeFill="background1" w:themeFillShade="BF"/>
          </w:tcPr>
          <w:p w:rsidR="00C30DB2" w:rsidRPr="00384E46" w:rsidRDefault="00D11B50" w:rsidP="00C30DB2">
            <w:pPr>
              <w:rPr>
                <w:rFonts w:ascii="Times New Roman" w:hAnsi="Times New Roman" w:cs="Times New Roman"/>
                <w:b/>
                <w:bCs/>
                <w:sz w:val="24"/>
                <w:szCs w:val="24"/>
                <w:lang w:val="en-US"/>
              </w:rPr>
            </w:pPr>
            <w:r w:rsidRPr="00D11B50">
              <w:rPr>
                <w:rFonts w:ascii="Times New Roman" w:hAnsi="Times New Roman" w:cs="Times New Roman"/>
                <w:b/>
                <w:sz w:val="24"/>
                <w:szCs w:val="24"/>
                <w:lang w:val="en-US"/>
              </w:rPr>
              <w:t>Afghanistan</w:t>
            </w:r>
            <w:r w:rsidR="00C30DB2" w:rsidRPr="00384E46">
              <w:rPr>
                <w:rFonts w:ascii="Times New Roman" w:hAnsi="Times New Roman" w:cs="Times New Roman"/>
                <w:b/>
                <w:bCs/>
                <w:sz w:val="24"/>
                <w:szCs w:val="24"/>
                <w:lang w:val="en-US"/>
              </w:rPr>
              <w:t>Massive (More than 100 km</w:t>
            </w:r>
            <w:r w:rsidR="00C30DB2" w:rsidRPr="00384E46">
              <w:rPr>
                <w:rFonts w:ascii="Times New Roman" w:hAnsi="Times New Roman" w:cs="Times New Roman"/>
                <w:b/>
                <w:bCs/>
                <w:sz w:val="24"/>
                <w:szCs w:val="24"/>
                <w:vertAlign w:val="superscript"/>
                <w:lang w:val="en-US"/>
              </w:rPr>
              <w:t>2</w:t>
            </w:r>
            <w:r w:rsidR="00C30DB2" w:rsidRPr="00384E46">
              <w:rPr>
                <w:rFonts w:ascii="Times New Roman" w:hAnsi="Times New Roman" w:cs="Times New Roman"/>
                <w:b/>
                <w:bCs/>
                <w:sz w:val="24"/>
                <w:szCs w:val="24"/>
                <w:lang w:val="en-US"/>
              </w:rPr>
              <w:t>)</w:t>
            </w:r>
          </w:p>
        </w:tc>
      </w:tr>
    </w:tbl>
    <w:p w:rsidR="00D11B50" w:rsidRDefault="00D11B50">
      <w:pPr>
        <w:rPr>
          <w:rFonts w:ascii="Times New Roman" w:hAnsi="Times New Roman" w:cs="Times New Roman"/>
          <w:sz w:val="24"/>
          <w:szCs w:val="24"/>
        </w:rPr>
      </w:pPr>
    </w:p>
    <w:p w:rsidR="00C30DB2" w:rsidRPr="00384E46" w:rsidRDefault="00076460">
      <w:pPr>
        <w:rPr>
          <w:rFonts w:ascii="Times New Roman" w:hAnsi="Times New Roman" w:cs="Times New Roman"/>
          <w:sz w:val="24"/>
          <w:szCs w:val="24"/>
        </w:rPr>
      </w:pPr>
      <w:r w:rsidRPr="00D11B50">
        <w:rPr>
          <w:rFonts w:ascii="Times New Roman" w:hAnsi="Times New Roman" w:cs="Times New Roman"/>
          <w:b/>
          <w:sz w:val="24"/>
          <w:szCs w:val="24"/>
        </w:rPr>
        <w:lastRenderedPageBreak/>
        <w:t>Afghanistan</w:t>
      </w:r>
      <w:r w:rsidRPr="00384E46">
        <w:rPr>
          <w:rFonts w:ascii="Times New Roman" w:hAnsi="Times New Roman" w:cs="Times New Roman"/>
          <w:sz w:val="24"/>
          <w:szCs w:val="24"/>
        </w:rPr>
        <w:t xml:space="preserve"> is one of 15 States Parties that do not have a complete picture of the extent of contamination, as there are unrecorded areas. But, The </w:t>
      </w:r>
      <w:r w:rsidR="00791045" w:rsidRPr="00384E46">
        <w:rPr>
          <w:rFonts w:ascii="Times New Roman" w:eastAsia="Times New Roman" w:hAnsi="Times New Roman" w:cs="Times New Roman"/>
          <w:sz w:val="24"/>
          <w:szCs w:val="24"/>
        </w:rPr>
        <w:t>Committee on Article 5 Implementation</w:t>
      </w:r>
      <w:r w:rsidRPr="00384E46">
        <w:rPr>
          <w:rFonts w:ascii="Times New Roman" w:hAnsi="Times New Roman" w:cs="Times New Roman"/>
          <w:sz w:val="24"/>
          <w:szCs w:val="24"/>
        </w:rPr>
        <w:t xml:space="preserve"> assessed the degree of clarity of the remaining challenge, finding that </w:t>
      </w:r>
      <w:r w:rsidRPr="00D11B50">
        <w:rPr>
          <w:rFonts w:ascii="Times New Roman" w:hAnsi="Times New Roman" w:cs="Times New Roman"/>
          <w:b/>
          <w:sz w:val="24"/>
          <w:szCs w:val="24"/>
        </w:rPr>
        <w:t>Afghanistan</w:t>
      </w:r>
      <w:r w:rsidRPr="00384E46">
        <w:rPr>
          <w:rFonts w:ascii="Times New Roman" w:hAnsi="Times New Roman" w:cs="Times New Roman"/>
          <w:sz w:val="24"/>
          <w:szCs w:val="24"/>
        </w:rPr>
        <w:t xml:space="preserve"> was one of only seven of the 17 States Parties assessed had provided </w:t>
      </w:r>
      <w:r w:rsidRPr="00384E46">
        <w:rPr>
          <w:rFonts w:ascii="Times New Roman" w:hAnsi="Times New Roman" w:cs="Times New Roman"/>
          <w:sz w:val="24"/>
          <w:szCs w:val="24"/>
          <w:u w:val="single"/>
        </w:rPr>
        <w:t>a high degree of clarity</w:t>
      </w:r>
      <w:r w:rsidRPr="00384E46">
        <w:rPr>
          <w:rFonts w:ascii="Times New Roman" w:hAnsi="Times New Roman" w:cs="Times New Roman"/>
          <w:sz w:val="24"/>
          <w:szCs w:val="24"/>
        </w:rPr>
        <w:t xml:space="preserve"> in their reporting.</w:t>
      </w:r>
    </w:p>
    <w:p w:rsidR="00C30DB2" w:rsidRPr="00384E46" w:rsidRDefault="00C30DB2" w:rsidP="00C30DB2">
      <w:pPr>
        <w:spacing w:after="0" w:line="240" w:lineRule="auto"/>
        <w:ind w:right="-46"/>
        <w:jc w:val="center"/>
        <w:outlineLvl w:val="0"/>
        <w:rPr>
          <w:rFonts w:ascii="Times New Roman" w:hAnsi="Times New Roman" w:cs="Times New Roman"/>
          <w:bCs/>
          <w:sz w:val="24"/>
          <w:szCs w:val="24"/>
        </w:rPr>
      </w:pPr>
      <w:r w:rsidRPr="00D11B50">
        <w:rPr>
          <w:rFonts w:ascii="Times New Roman" w:hAnsi="Times New Roman" w:cs="Times New Roman"/>
          <w:b/>
          <w:bCs/>
          <w:sz w:val="24"/>
          <w:szCs w:val="24"/>
        </w:rPr>
        <w:t xml:space="preserve">Afghanistan </w:t>
      </w:r>
      <w:r w:rsidRPr="00384E46">
        <w:rPr>
          <w:rFonts w:ascii="Times New Roman" w:hAnsi="Times New Roman" w:cs="Times New Roman"/>
          <w:bCs/>
          <w:sz w:val="24"/>
          <w:szCs w:val="24"/>
        </w:rPr>
        <w:t>was recorded as</w:t>
      </w:r>
      <w:r w:rsidR="00791045" w:rsidRPr="00384E46">
        <w:rPr>
          <w:rFonts w:ascii="Times New Roman" w:hAnsi="Times New Roman" w:cs="Times New Roman"/>
          <w:bCs/>
          <w:sz w:val="24"/>
          <w:szCs w:val="24"/>
        </w:rPr>
        <w:t xml:space="preserve"> coming</w:t>
      </w:r>
      <w:r w:rsidRPr="00384E46">
        <w:rPr>
          <w:rFonts w:ascii="Times New Roman" w:hAnsi="Times New Roman" w:cs="Times New Roman"/>
          <w:bCs/>
          <w:sz w:val="24"/>
          <w:szCs w:val="24"/>
        </w:rPr>
        <w:t xml:space="preserve"> third </w:t>
      </w:r>
      <w:r w:rsidR="00791045" w:rsidRPr="00384E46">
        <w:rPr>
          <w:rFonts w:ascii="Times New Roman" w:hAnsi="Times New Roman" w:cs="Times New Roman"/>
          <w:bCs/>
          <w:sz w:val="24"/>
          <w:szCs w:val="24"/>
        </w:rPr>
        <w:t xml:space="preserve">place </w:t>
      </w:r>
      <w:r w:rsidRPr="00384E46">
        <w:rPr>
          <w:rFonts w:ascii="Times New Roman" w:hAnsi="Times New Roman" w:cs="Times New Roman"/>
          <w:bCs/>
          <w:sz w:val="24"/>
          <w:szCs w:val="24"/>
        </w:rPr>
        <w:t xml:space="preserve">of all programs </w:t>
      </w:r>
      <w:r w:rsidR="00791045" w:rsidRPr="00384E46">
        <w:rPr>
          <w:rFonts w:ascii="Times New Roman" w:hAnsi="Times New Roman" w:cs="Times New Roman"/>
          <w:bCs/>
          <w:sz w:val="24"/>
          <w:szCs w:val="24"/>
        </w:rPr>
        <w:t xml:space="preserve">for </w:t>
      </w:r>
      <w:r w:rsidRPr="00384E46">
        <w:rPr>
          <w:rFonts w:ascii="Times New Roman" w:hAnsi="Times New Roman" w:cs="Times New Roman"/>
          <w:bCs/>
          <w:sz w:val="24"/>
          <w:szCs w:val="24"/>
        </w:rPr>
        <w:t>clearing the largest amount of mined area in 2015, after Cambodia and Croatia</w:t>
      </w:r>
      <w:r w:rsidR="00791045" w:rsidRPr="00384E46">
        <w:rPr>
          <w:rFonts w:ascii="Times New Roman" w:hAnsi="Times New Roman" w:cs="Times New Roman"/>
          <w:bCs/>
          <w:sz w:val="24"/>
          <w:szCs w:val="24"/>
        </w:rPr>
        <w:t>:</w:t>
      </w:r>
    </w:p>
    <w:p w:rsidR="00C30DB2" w:rsidRPr="00384E46" w:rsidRDefault="00C30DB2" w:rsidP="00C30DB2">
      <w:pPr>
        <w:rPr>
          <w:rFonts w:ascii="Times New Roman" w:hAnsi="Times New Roman" w:cs="Times New Roman"/>
          <w:sz w:val="24"/>
          <w:szCs w:val="24"/>
        </w:rPr>
      </w:pPr>
    </w:p>
    <w:p w:rsidR="00A0199B" w:rsidRPr="00384E46" w:rsidRDefault="00A0199B" w:rsidP="00A0199B">
      <w:pPr>
        <w:jc w:val="center"/>
        <w:rPr>
          <w:rFonts w:ascii="Times New Roman" w:hAnsi="Times New Roman" w:cs="Times New Roman"/>
          <w:sz w:val="24"/>
          <w:szCs w:val="24"/>
        </w:rPr>
      </w:pPr>
      <w:r w:rsidRPr="00384E46">
        <w:rPr>
          <w:rFonts w:ascii="Times New Roman" w:hAnsi="Times New Roman" w:cs="Times New Roman"/>
          <w:b/>
          <w:bCs/>
          <w:sz w:val="24"/>
          <w:szCs w:val="24"/>
        </w:rPr>
        <w:t>Amount of mined area cleared in 2015</w:t>
      </w:r>
    </w:p>
    <w:tbl>
      <w:tblPr>
        <w:tblStyle w:val="TableGrid1"/>
        <w:tblW w:w="0" w:type="auto"/>
        <w:jc w:val="center"/>
        <w:tblLook w:val="04A0"/>
      </w:tblPr>
      <w:tblGrid>
        <w:gridCol w:w="2283"/>
        <w:gridCol w:w="1681"/>
        <w:gridCol w:w="2019"/>
      </w:tblGrid>
      <w:tr w:rsidR="00C30DB2" w:rsidRPr="00384E46" w:rsidTr="00C30DB2">
        <w:trPr>
          <w:trHeight w:val="70"/>
          <w:jc w:val="center"/>
        </w:trPr>
        <w:tc>
          <w:tcPr>
            <w:tcW w:w="2283" w:type="dxa"/>
            <w:shd w:val="clear" w:color="auto" w:fill="BFBFBF" w:themeFill="background1" w:themeFillShade="BF"/>
            <w:vAlign w:val="center"/>
          </w:tcPr>
          <w:p w:rsidR="00C30DB2" w:rsidRPr="00384E46" w:rsidRDefault="00C30DB2" w:rsidP="00250492">
            <w:pPr>
              <w:rPr>
                <w:rFonts w:ascii="Times New Roman" w:hAnsi="Times New Roman" w:cs="Times New Roman"/>
                <w:b/>
                <w:bCs/>
                <w:sz w:val="24"/>
                <w:szCs w:val="24"/>
              </w:rPr>
            </w:pPr>
            <w:r w:rsidRPr="00384E46">
              <w:rPr>
                <w:rFonts w:ascii="Times New Roman" w:hAnsi="Times New Roman" w:cs="Times New Roman"/>
                <w:b/>
                <w:bCs/>
                <w:sz w:val="24"/>
                <w:szCs w:val="24"/>
              </w:rPr>
              <w:t>State</w:t>
            </w:r>
          </w:p>
        </w:tc>
        <w:tc>
          <w:tcPr>
            <w:tcW w:w="1681" w:type="dxa"/>
            <w:shd w:val="clear" w:color="auto" w:fill="BFBFBF" w:themeFill="background1" w:themeFillShade="BF"/>
            <w:vAlign w:val="center"/>
          </w:tcPr>
          <w:p w:rsidR="00C30DB2" w:rsidRPr="00384E46" w:rsidRDefault="00C30DB2" w:rsidP="00250492">
            <w:pPr>
              <w:jc w:val="center"/>
              <w:rPr>
                <w:rFonts w:ascii="Times New Roman" w:hAnsi="Times New Roman" w:cs="Times New Roman"/>
                <w:b/>
                <w:bCs/>
                <w:sz w:val="24"/>
                <w:szCs w:val="24"/>
              </w:rPr>
            </w:pPr>
            <w:r w:rsidRPr="00384E46">
              <w:rPr>
                <w:rFonts w:ascii="Times New Roman" w:hAnsi="Times New Roman" w:cs="Times New Roman"/>
                <w:b/>
                <w:bCs/>
                <w:sz w:val="24"/>
                <w:szCs w:val="24"/>
              </w:rPr>
              <w:t>Mined area cleared (km</w:t>
            </w:r>
            <w:r w:rsidRPr="00384E46">
              <w:rPr>
                <w:rFonts w:ascii="Times New Roman" w:hAnsi="Times New Roman" w:cs="Times New Roman"/>
                <w:b/>
                <w:bCs/>
                <w:sz w:val="24"/>
                <w:szCs w:val="24"/>
                <w:vertAlign w:val="superscript"/>
              </w:rPr>
              <w:t>2</w:t>
            </w:r>
            <w:r w:rsidRPr="00384E46">
              <w:rPr>
                <w:rFonts w:ascii="Times New Roman" w:hAnsi="Times New Roman" w:cs="Times New Roman"/>
                <w:b/>
                <w:bCs/>
                <w:sz w:val="24"/>
                <w:szCs w:val="24"/>
              </w:rPr>
              <w:t>)</w:t>
            </w:r>
          </w:p>
        </w:tc>
        <w:tc>
          <w:tcPr>
            <w:tcW w:w="2019" w:type="dxa"/>
            <w:shd w:val="clear" w:color="auto" w:fill="BFBFBF" w:themeFill="background1" w:themeFillShade="BF"/>
            <w:vAlign w:val="center"/>
          </w:tcPr>
          <w:p w:rsidR="00C30DB2" w:rsidRPr="00384E46" w:rsidRDefault="00C30DB2" w:rsidP="00250492">
            <w:pPr>
              <w:jc w:val="center"/>
              <w:rPr>
                <w:rFonts w:ascii="Times New Roman" w:hAnsi="Times New Roman" w:cs="Times New Roman"/>
                <w:b/>
                <w:bCs/>
                <w:sz w:val="24"/>
                <w:szCs w:val="24"/>
              </w:rPr>
            </w:pPr>
            <w:r w:rsidRPr="00384E46">
              <w:rPr>
                <w:rFonts w:ascii="Times New Roman" w:hAnsi="Times New Roman" w:cs="Times New Roman"/>
                <w:b/>
                <w:bCs/>
                <w:sz w:val="24"/>
                <w:szCs w:val="24"/>
              </w:rPr>
              <w:t>Antipersonnel mines destroyed</w:t>
            </w:r>
          </w:p>
        </w:tc>
      </w:tr>
      <w:tr w:rsidR="00C30DB2" w:rsidRPr="00384E46" w:rsidTr="00250492">
        <w:trPr>
          <w:jc w:val="center"/>
        </w:trPr>
        <w:tc>
          <w:tcPr>
            <w:tcW w:w="2283" w:type="dxa"/>
          </w:tcPr>
          <w:p w:rsidR="00C30DB2" w:rsidRPr="00384E46" w:rsidRDefault="00C30DB2" w:rsidP="00250492">
            <w:pPr>
              <w:rPr>
                <w:rFonts w:ascii="Times New Roman" w:hAnsi="Times New Roman" w:cs="Times New Roman"/>
                <w:b/>
                <w:bCs/>
                <w:sz w:val="24"/>
                <w:szCs w:val="24"/>
              </w:rPr>
            </w:pPr>
          </w:p>
        </w:tc>
        <w:tc>
          <w:tcPr>
            <w:tcW w:w="1681" w:type="dxa"/>
          </w:tcPr>
          <w:p w:rsidR="00C30DB2" w:rsidRPr="00384E46" w:rsidRDefault="00C30DB2" w:rsidP="00250492">
            <w:pPr>
              <w:jc w:val="right"/>
              <w:rPr>
                <w:rFonts w:ascii="Times New Roman" w:hAnsi="Times New Roman" w:cs="Times New Roman"/>
                <w:sz w:val="24"/>
                <w:szCs w:val="24"/>
              </w:rPr>
            </w:pPr>
            <w:r w:rsidRPr="00384E46">
              <w:rPr>
                <w:rFonts w:ascii="Times New Roman" w:hAnsi="Times New Roman" w:cs="Times New Roman"/>
                <w:sz w:val="24"/>
                <w:szCs w:val="24"/>
              </w:rPr>
              <w:t>35.4</w:t>
            </w:r>
          </w:p>
        </w:tc>
        <w:tc>
          <w:tcPr>
            <w:tcW w:w="2019" w:type="dxa"/>
          </w:tcPr>
          <w:p w:rsidR="00C30DB2" w:rsidRPr="00384E46" w:rsidRDefault="00C30DB2" w:rsidP="00250492">
            <w:pPr>
              <w:jc w:val="right"/>
              <w:rPr>
                <w:rFonts w:ascii="Times New Roman" w:hAnsi="Times New Roman" w:cs="Times New Roman"/>
                <w:sz w:val="24"/>
                <w:szCs w:val="24"/>
              </w:rPr>
            </w:pPr>
            <w:r w:rsidRPr="00384E46">
              <w:rPr>
                <w:rFonts w:ascii="Times New Roman" w:hAnsi="Times New Roman" w:cs="Times New Roman"/>
                <w:sz w:val="24"/>
                <w:szCs w:val="24"/>
              </w:rPr>
              <w:t>4,486</w:t>
            </w:r>
          </w:p>
        </w:tc>
      </w:tr>
    </w:tbl>
    <w:p w:rsidR="00C30DB2" w:rsidRPr="00384E46" w:rsidRDefault="00C30DB2" w:rsidP="00C30DB2">
      <w:pPr>
        <w:spacing w:after="0" w:line="240" w:lineRule="auto"/>
        <w:jc w:val="center"/>
        <w:rPr>
          <w:rFonts w:ascii="Times New Roman" w:hAnsi="Times New Roman" w:cs="Times New Roman"/>
          <w:bCs/>
          <w:sz w:val="24"/>
          <w:szCs w:val="24"/>
        </w:rPr>
      </w:pPr>
      <w:r w:rsidRPr="00384E46">
        <w:rPr>
          <w:rFonts w:ascii="Times New Roman" w:hAnsi="Times New Roman" w:cs="Times New Roman"/>
          <w:bCs/>
          <w:sz w:val="24"/>
          <w:szCs w:val="24"/>
        </w:rPr>
        <w:t>However</w:t>
      </w:r>
      <w:r w:rsidR="00A0199B" w:rsidRPr="00384E46">
        <w:rPr>
          <w:rFonts w:ascii="Times New Roman" w:hAnsi="Times New Roman" w:cs="Times New Roman"/>
          <w:bCs/>
          <w:sz w:val="24"/>
          <w:szCs w:val="24"/>
        </w:rPr>
        <w:t>,</w:t>
      </w:r>
      <w:r w:rsidRPr="00384E46">
        <w:rPr>
          <w:rFonts w:ascii="Times New Roman" w:hAnsi="Times New Roman" w:cs="Times New Roman"/>
          <w:bCs/>
          <w:sz w:val="24"/>
          <w:szCs w:val="24"/>
        </w:rPr>
        <w:t xml:space="preserve"> Afghanistan is not on track to meet its deadline for clearance</w:t>
      </w:r>
      <w:r w:rsidR="00076460" w:rsidRPr="00384E46">
        <w:rPr>
          <w:rFonts w:ascii="Times New Roman" w:hAnsi="Times New Roman" w:cs="Times New Roman"/>
          <w:bCs/>
          <w:sz w:val="24"/>
          <w:szCs w:val="24"/>
        </w:rPr>
        <w:t>:</w:t>
      </w:r>
    </w:p>
    <w:p w:rsidR="00C30DB2" w:rsidRPr="00384E46" w:rsidRDefault="00C30DB2" w:rsidP="00C30DB2">
      <w:pPr>
        <w:spacing w:after="0" w:line="240" w:lineRule="auto"/>
        <w:jc w:val="center"/>
        <w:rPr>
          <w:rFonts w:ascii="Times New Roman" w:hAnsi="Times New Roman" w:cs="Times New Roman"/>
          <w:b/>
          <w:bCs/>
          <w:sz w:val="24"/>
          <w:szCs w:val="24"/>
        </w:rPr>
      </w:pPr>
    </w:p>
    <w:p w:rsidR="00C30DB2" w:rsidRPr="00384E46" w:rsidRDefault="00C30DB2" w:rsidP="00C30DB2">
      <w:pPr>
        <w:spacing w:after="0" w:line="240" w:lineRule="auto"/>
        <w:jc w:val="center"/>
        <w:rPr>
          <w:rFonts w:ascii="Times New Roman" w:hAnsi="Times New Roman" w:cs="Times New Roman"/>
          <w:b/>
          <w:bCs/>
          <w:sz w:val="24"/>
          <w:szCs w:val="24"/>
        </w:rPr>
      </w:pPr>
      <w:r w:rsidRPr="00384E46">
        <w:rPr>
          <w:rFonts w:ascii="Times New Roman" w:hAnsi="Times New Roman" w:cs="Times New Roman"/>
          <w:b/>
          <w:bCs/>
          <w:sz w:val="24"/>
          <w:szCs w:val="24"/>
        </w:rPr>
        <w:t>States Parties with antipersonnel mine contamination, their deadlines, and status of any deadline extensions</w:t>
      </w:r>
    </w:p>
    <w:tbl>
      <w:tblPr>
        <w:tblStyle w:val="TableGrid"/>
        <w:tblW w:w="0" w:type="auto"/>
        <w:tblLook w:val="04A0"/>
      </w:tblPr>
      <w:tblGrid>
        <w:gridCol w:w="1636"/>
        <w:gridCol w:w="1388"/>
        <w:gridCol w:w="2178"/>
        <w:gridCol w:w="1771"/>
        <w:gridCol w:w="2043"/>
      </w:tblGrid>
      <w:tr w:rsidR="00C30DB2" w:rsidRPr="00384E46" w:rsidTr="00250492">
        <w:tc>
          <w:tcPr>
            <w:tcW w:w="1636" w:type="dxa"/>
            <w:shd w:val="clear" w:color="auto" w:fill="BFBFBF" w:themeFill="background1" w:themeFillShade="BF"/>
            <w:vAlign w:val="center"/>
          </w:tcPr>
          <w:p w:rsidR="00C30DB2" w:rsidRPr="00384E46" w:rsidRDefault="00C30DB2" w:rsidP="00250492">
            <w:pPr>
              <w:jc w:val="center"/>
              <w:rPr>
                <w:rFonts w:ascii="Times New Roman" w:hAnsi="Times New Roman" w:cs="Times New Roman"/>
                <w:b/>
                <w:bCs/>
                <w:sz w:val="24"/>
                <w:szCs w:val="24"/>
                <w:lang w:val="en-US"/>
              </w:rPr>
            </w:pPr>
            <w:r w:rsidRPr="00384E46">
              <w:rPr>
                <w:rFonts w:ascii="Times New Roman" w:hAnsi="Times New Roman" w:cs="Times New Roman"/>
                <w:b/>
                <w:bCs/>
                <w:sz w:val="24"/>
                <w:szCs w:val="24"/>
                <w:lang w:val="en-US"/>
              </w:rPr>
              <w:t>States Parties</w:t>
            </w:r>
          </w:p>
        </w:tc>
        <w:tc>
          <w:tcPr>
            <w:tcW w:w="1388" w:type="dxa"/>
            <w:shd w:val="clear" w:color="auto" w:fill="BFBFBF" w:themeFill="background1" w:themeFillShade="BF"/>
            <w:vAlign w:val="center"/>
          </w:tcPr>
          <w:p w:rsidR="00C30DB2" w:rsidRPr="00384E46" w:rsidRDefault="00C30DB2" w:rsidP="00250492">
            <w:pPr>
              <w:jc w:val="center"/>
              <w:rPr>
                <w:rFonts w:ascii="Times New Roman" w:hAnsi="Times New Roman" w:cs="Times New Roman"/>
                <w:b/>
                <w:bCs/>
                <w:sz w:val="24"/>
                <w:szCs w:val="24"/>
                <w:lang w:val="en-US"/>
              </w:rPr>
            </w:pPr>
            <w:r w:rsidRPr="00384E46">
              <w:rPr>
                <w:rFonts w:ascii="Times New Roman" w:hAnsi="Times New Roman" w:cs="Times New Roman"/>
                <w:b/>
                <w:bCs/>
                <w:sz w:val="24"/>
                <w:szCs w:val="24"/>
                <w:lang w:val="en-US"/>
              </w:rPr>
              <w:t>Original deadline</w:t>
            </w:r>
          </w:p>
        </w:tc>
        <w:tc>
          <w:tcPr>
            <w:tcW w:w="2178" w:type="dxa"/>
            <w:shd w:val="clear" w:color="auto" w:fill="BFBFBF" w:themeFill="background1" w:themeFillShade="BF"/>
            <w:vAlign w:val="center"/>
          </w:tcPr>
          <w:p w:rsidR="00C30DB2" w:rsidRPr="00384E46" w:rsidRDefault="00C30DB2" w:rsidP="00250492">
            <w:pPr>
              <w:jc w:val="center"/>
              <w:rPr>
                <w:rFonts w:ascii="Times New Roman" w:hAnsi="Times New Roman" w:cs="Times New Roman"/>
                <w:b/>
                <w:bCs/>
                <w:sz w:val="24"/>
                <w:szCs w:val="24"/>
                <w:lang w:val="en-US"/>
              </w:rPr>
            </w:pPr>
            <w:r w:rsidRPr="00384E46">
              <w:rPr>
                <w:rFonts w:ascii="Times New Roman" w:hAnsi="Times New Roman" w:cs="Times New Roman"/>
                <w:b/>
                <w:bCs/>
                <w:sz w:val="24"/>
                <w:szCs w:val="24"/>
                <w:lang w:val="en-US"/>
              </w:rPr>
              <w:t>Extension period</w:t>
            </w:r>
          </w:p>
        </w:tc>
        <w:tc>
          <w:tcPr>
            <w:tcW w:w="1771" w:type="dxa"/>
            <w:shd w:val="clear" w:color="auto" w:fill="BFBFBF" w:themeFill="background1" w:themeFillShade="BF"/>
            <w:vAlign w:val="center"/>
          </w:tcPr>
          <w:p w:rsidR="00C30DB2" w:rsidRPr="00384E46" w:rsidRDefault="00C30DB2" w:rsidP="00250492">
            <w:pPr>
              <w:jc w:val="center"/>
              <w:rPr>
                <w:rFonts w:ascii="Times New Roman" w:hAnsi="Times New Roman" w:cs="Times New Roman"/>
                <w:b/>
                <w:bCs/>
                <w:sz w:val="24"/>
                <w:szCs w:val="24"/>
                <w:lang w:val="en-US"/>
              </w:rPr>
            </w:pPr>
            <w:r w:rsidRPr="00384E46">
              <w:rPr>
                <w:rFonts w:ascii="Times New Roman" w:hAnsi="Times New Roman" w:cs="Times New Roman"/>
                <w:b/>
                <w:bCs/>
                <w:sz w:val="24"/>
                <w:szCs w:val="24"/>
                <w:lang w:val="en-US"/>
              </w:rPr>
              <w:t>Deadline</w:t>
            </w:r>
          </w:p>
        </w:tc>
        <w:tc>
          <w:tcPr>
            <w:tcW w:w="2043" w:type="dxa"/>
            <w:shd w:val="clear" w:color="auto" w:fill="BFBFBF" w:themeFill="background1" w:themeFillShade="BF"/>
            <w:vAlign w:val="center"/>
          </w:tcPr>
          <w:p w:rsidR="00C30DB2" w:rsidRPr="00384E46" w:rsidRDefault="00C30DB2" w:rsidP="00250492">
            <w:pPr>
              <w:jc w:val="center"/>
              <w:rPr>
                <w:rFonts w:ascii="Times New Roman" w:hAnsi="Times New Roman" w:cs="Times New Roman"/>
                <w:b/>
                <w:bCs/>
                <w:color w:val="70AD47" w:themeColor="accent6"/>
                <w:sz w:val="24"/>
                <w:szCs w:val="24"/>
                <w:lang w:val="en-US"/>
              </w:rPr>
            </w:pPr>
            <w:r w:rsidRPr="00384E46">
              <w:rPr>
                <w:rFonts w:ascii="Times New Roman" w:hAnsi="Times New Roman" w:cs="Times New Roman"/>
                <w:b/>
                <w:bCs/>
                <w:sz w:val="24"/>
                <w:szCs w:val="24"/>
                <w:lang w:val="en-US"/>
              </w:rPr>
              <w:t>Status</w:t>
            </w:r>
          </w:p>
        </w:tc>
      </w:tr>
      <w:tr w:rsidR="00C30DB2" w:rsidRPr="00384E46" w:rsidTr="00250492">
        <w:tc>
          <w:tcPr>
            <w:tcW w:w="1636" w:type="dxa"/>
          </w:tcPr>
          <w:p w:rsidR="00C30DB2" w:rsidRPr="00384E46" w:rsidRDefault="00C30DB2" w:rsidP="00250492">
            <w:pPr>
              <w:rPr>
                <w:rFonts w:ascii="Times New Roman" w:hAnsi="Times New Roman" w:cs="Times New Roman"/>
                <w:b/>
                <w:sz w:val="24"/>
                <w:szCs w:val="24"/>
                <w:lang w:val="en-US"/>
              </w:rPr>
            </w:pPr>
          </w:p>
        </w:tc>
        <w:tc>
          <w:tcPr>
            <w:tcW w:w="1388" w:type="dxa"/>
          </w:tcPr>
          <w:p w:rsidR="00C30DB2" w:rsidRPr="00384E46" w:rsidRDefault="00C30DB2" w:rsidP="00250492">
            <w:pPr>
              <w:rPr>
                <w:rFonts w:ascii="Times New Roman" w:hAnsi="Times New Roman" w:cs="Times New Roman"/>
                <w:sz w:val="24"/>
                <w:szCs w:val="24"/>
                <w:lang w:val="en-US"/>
              </w:rPr>
            </w:pPr>
            <w:r w:rsidRPr="00384E46">
              <w:rPr>
                <w:rFonts w:ascii="Times New Roman" w:hAnsi="Times New Roman" w:cs="Times New Roman"/>
                <w:sz w:val="24"/>
                <w:szCs w:val="24"/>
                <w:lang w:val="en-US"/>
              </w:rPr>
              <w:t>1 March 2013</w:t>
            </w:r>
          </w:p>
        </w:tc>
        <w:tc>
          <w:tcPr>
            <w:tcW w:w="2178" w:type="dxa"/>
          </w:tcPr>
          <w:p w:rsidR="00C30DB2" w:rsidRPr="00384E46" w:rsidRDefault="00C30DB2" w:rsidP="00250492">
            <w:pPr>
              <w:rPr>
                <w:rFonts w:ascii="Times New Roman" w:hAnsi="Times New Roman" w:cs="Times New Roman"/>
                <w:sz w:val="24"/>
                <w:szCs w:val="24"/>
                <w:lang w:val="en-US"/>
              </w:rPr>
            </w:pPr>
            <w:r w:rsidRPr="00384E46">
              <w:rPr>
                <w:rFonts w:ascii="Times New Roman" w:hAnsi="Times New Roman" w:cs="Times New Roman"/>
                <w:sz w:val="24"/>
                <w:szCs w:val="24"/>
                <w:lang w:val="en-US"/>
              </w:rPr>
              <w:t>10 years</w:t>
            </w:r>
          </w:p>
        </w:tc>
        <w:tc>
          <w:tcPr>
            <w:tcW w:w="1771" w:type="dxa"/>
          </w:tcPr>
          <w:p w:rsidR="00C30DB2" w:rsidRPr="00384E46" w:rsidRDefault="00C30DB2" w:rsidP="00250492">
            <w:pPr>
              <w:rPr>
                <w:rFonts w:ascii="Times New Roman" w:hAnsi="Times New Roman" w:cs="Times New Roman"/>
                <w:sz w:val="24"/>
                <w:szCs w:val="24"/>
                <w:lang w:val="en-US"/>
              </w:rPr>
            </w:pPr>
            <w:r w:rsidRPr="00384E46">
              <w:rPr>
                <w:rFonts w:ascii="Times New Roman" w:hAnsi="Times New Roman" w:cs="Times New Roman"/>
                <w:sz w:val="24"/>
                <w:szCs w:val="24"/>
                <w:lang w:val="en-US"/>
              </w:rPr>
              <w:t>1 March 2023</w:t>
            </w:r>
          </w:p>
        </w:tc>
        <w:tc>
          <w:tcPr>
            <w:tcW w:w="2043" w:type="dxa"/>
          </w:tcPr>
          <w:p w:rsidR="00C30DB2" w:rsidRPr="00384E46" w:rsidRDefault="00C30DB2" w:rsidP="00250492">
            <w:pPr>
              <w:rPr>
                <w:rFonts w:ascii="Times New Roman" w:hAnsi="Times New Roman" w:cs="Times New Roman"/>
                <w:sz w:val="24"/>
                <w:szCs w:val="24"/>
                <w:lang w:val="en-US"/>
              </w:rPr>
            </w:pPr>
            <w:r w:rsidRPr="00384E46">
              <w:rPr>
                <w:rFonts w:ascii="Times New Roman" w:hAnsi="Times New Roman" w:cs="Times New Roman"/>
                <w:sz w:val="24"/>
                <w:szCs w:val="24"/>
                <w:lang w:val="en-US"/>
              </w:rPr>
              <w:t>Not on track</w:t>
            </w:r>
          </w:p>
        </w:tc>
      </w:tr>
    </w:tbl>
    <w:p w:rsidR="00C30DB2" w:rsidRPr="00384E46" w:rsidRDefault="00C30DB2">
      <w:pPr>
        <w:rPr>
          <w:rFonts w:ascii="Times New Roman" w:hAnsi="Times New Roman" w:cs="Times New Roman"/>
          <w:sz w:val="24"/>
          <w:szCs w:val="24"/>
        </w:rPr>
      </w:pPr>
    </w:p>
    <w:p w:rsidR="00076460" w:rsidRPr="00384E46" w:rsidRDefault="00076460">
      <w:pPr>
        <w:rPr>
          <w:rFonts w:ascii="Times New Roman" w:hAnsi="Times New Roman" w:cs="Times New Roman"/>
          <w:sz w:val="24"/>
          <w:szCs w:val="24"/>
        </w:rPr>
      </w:pPr>
      <w:r w:rsidRPr="00384E46">
        <w:rPr>
          <w:rFonts w:ascii="Times New Roman" w:hAnsi="Times New Roman" w:cs="Times New Roman"/>
          <w:sz w:val="24"/>
          <w:szCs w:val="24"/>
        </w:rPr>
        <w:t xml:space="preserve">Mine action experienced a severe reduction in funding in 2015, negatively affecting land release results. Inadequate funding was cited as a challenge to achieving the Article 5 implementation deadline in </w:t>
      </w:r>
      <w:r w:rsidRPr="00D11B50">
        <w:rPr>
          <w:rFonts w:ascii="Times New Roman" w:hAnsi="Times New Roman" w:cs="Times New Roman"/>
          <w:b/>
          <w:sz w:val="24"/>
          <w:szCs w:val="24"/>
        </w:rPr>
        <w:t>Afghanistan</w:t>
      </w:r>
      <w:r w:rsidRPr="00384E46">
        <w:rPr>
          <w:rFonts w:ascii="Times New Roman" w:hAnsi="Times New Roman" w:cs="Times New Roman"/>
          <w:sz w:val="24"/>
          <w:szCs w:val="24"/>
        </w:rPr>
        <w:t>.</w:t>
      </w:r>
    </w:p>
    <w:p w:rsidR="00076460" w:rsidRPr="00384E46" w:rsidRDefault="00076460">
      <w:pPr>
        <w:rPr>
          <w:rFonts w:ascii="Times New Roman" w:hAnsi="Times New Roman" w:cs="Times New Roman"/>
          <w:sz w:val="24"/>
          <w:szCs w:val="24"/>
        </w:rPr>
      </w:pPr>
      <w:r w:rsidRPr="00384E46">
        <w:rPr>
          <w:rFonts w:ascii="Times New Roman" w:hAnsi="Times New Roman" w:cs="Times New Roman"/>
          <w:sz w:val="24"/>
          <w:szCs w:val="24"/>
        </w:rPr>
        <w:t xml:space="preserve">In </w:t>
      </w:r>
      <w:r w:rsidRPr="00D11B50">
        <w:rPr>
          <w:rFonts w:ascii="Times New Roman" w:hAnsi="Times New Roman" w:cs="Times New Roman"/>
          <w:b/>
          <w:sz w:val="24"/>
          <w:szCs w:val="24"/>
        </w:rPr>
        <w:t>Afghanistan</w:t>
      </w:r>
      <w:r w:rsidRPr="00384E46">
        <w:rPr>
          <w:rFonts w:ascii="Times New Roman" w:hAnsi="Times New Roman" w:cs="Times New Roman"/>
          <w:sz w:val="24"/>
          <w:szCs w:val="24"/>
        </w:rPr>
        <w:t>, the amount of land released in 2015 almost halved from the previous year, due to the downturn in funding.</w:t>
      </w:r>
      <w:r w:rsidRPr="00384E46">
        <w:rPr>
          <w:rStyle w:val="FootnoteReference"/>
          <w:rFonts w:ascii="Times New Roman" w:hAnsi="Times New Roman" w:cs="Times New Roman"/>
          <w:sz w:val="24"/>
          <w:szCs w:val="24"/>
        </w:rPr>
        <w:footnoteReference w:id="5"/>
      </w:r>
      <w:r w:rsidRPr="00384E46">
        <w:rPr>
          <w:rStyle w:val="FootnoteReference"/>
          <w:rFonts w:ascii="Times New Roman" w:hAnsi="Times New Roman" w:cs="Times New Roman"/>
          <w:sz w:val="24"/>
          <w:szCs w:val="24"/>
        </w:rPr>
        <w:footnoteReference w:id="6"/>
      </w:r>
    </w:p>
    <w:p w:rsidR="004A401F" w:rsidRPr="00384E46" w:rsidRDefault="00C30DB2">
      <w:pPr>
        <w:rPr>
          <w:rFonts w:ascii="Times New Roman" w:hAnsi="Times New Roman" w:cs="Times New Roman"/>
          <w:sz w:val="24"/>
          <w:szCs w:val="24"/>
        </w:rPr>
      </w:pPr>
      <w:r w:rsidRPr="00384E46">
        <w:rPr>
          <w:rFonts w:ascii="Times New Roman" w:hAnsi="Times New Roman" w:cs="Times New Roman"/>
          <w:sz w:val="24"/>
          <w:szCs w:val="24"/>
        </w:rPr>
        <w:t>There was new contamination in 2015 and/or 2016 in Afghanistan</w:t>
      </w:r>
      <w:r w:rsidR="004A401F" w:rsidRPr="00384E46">
        <w:rPr>
          <w:rFonts w:ascii="Times New Roman" w:hAnsi="Times New Roman" w:cs="Times New Roman"/>
          <w:sz w:val="24"/>
          <w:szCs w:val="24"/>
        </w:rPr>
        <w:t>. In 2015 and 2016, conflict affected land release operations in nine States Parties including Afghanistan. In 2015, eight personnel from the Mine Action Program of Afghanistan (MAPA) were killed and 34 injured in security incidents, and 63 were abducted and then released.</w:t>
      </w:r>
      <w:r w:rsidR="004A401F" w:rsidRPr="00384E46">
        <w:rPr>
          <w:rStyle w:val="FootnoteReference"/>
          <w:rFonts w:ascii="Times New Roman" w:hAnsi="Times New Roman" w:cs="Times New Roman"/>
          <w:sz w:val="24"/>
          <w:szCs w:val="24"/>
        </w:rPr>
        <w:footnoteReference w:id="7"/>
      </w:r>
    </w:p>
    <w:p w:rsidR="004A401F" w:rsidRPr="00384E46" w:rsidRDefault="004A401F">
      <w:pPr>
        <w:rPr>
          <w:rFonts w:ascii="Times New Roman" w:hAnsi="Times New Roman" w:cs="Times New Roman"/>
          <w:sz w:val="24"/>
          <w:szCs w:val="24"/>
        </w:rPr>
      </w:pPr>
      <w:r w:rsidRPr="00D11B50">
        <w:rPr>
          <w:rFonts w:ascii="Times New Roman" w:hAnsi="Times New Roman" w:cs="Times New Roman"/>
          <w:b/>
          <w:sz w:val="24"/>
          <w:szCs w:val="24"/>
        </w:rPr>
        <w:t xml:space="preserve">Afghanistan </w:t>
      </w:r>
      <w:r w:rsidRPr="00384E46">
        <w:rPr>
          <w:rFonts w:ascii="Times New Roman" w:hAnsi="Times New Roman" w:cs="Times New Roman"/>
          <w:sz w:val="24"/>
          <w:szCs w:val="24"/>
        </w:rPr>
        <w:t>received the largest amount of funding for mine action globally in 2015 ($52.6 million), from the largest number of donors (17).</w:t>
      </w:r>
    </w:p>
    <w:p w:rsidR="00C30DB2" w:rsidRDefault="00C30DB2">
      <w:pPr>
        <w:rPr>
          <w:rFonts w:ascii="Times New Roman" w:hAnsi="Times New Roman" w:cs="Times New Roman"/>
          <w:sz w:val="24"/>
          <w:szCs w:val="24"/>
        </w:rPr>
      </w:pPr>
    </w:p>
    <w:p w:rsidR="005537AE" w:rsidRDefault="005537AE" w:rsidP="005537AE">
      <w:pPr>
        <w:jc w:val="both"/>
        <w:rPr>
          <w:rFonts w:ascii="Times New Roman" w:hAnsi="Times New Roman" w:cs="Times New Roman"/>
          <w:sz w:val="24"/>
          <w:szCs w:val="24"/>
        </w:rPr>
      </w:pPr>
      <w:r>
        <w:rPr>
          <w:rFonts w:ascii="Times New Roman" w:hAnsi="Times New Roman" w:cs="Times New Roman"/>
          <w:b/>
          <w:bCs/>
          <w:sz w:val="24"/>
          <w:szCs w:val="24"/>
        </w:rPr>
        <w:t>Casualties</w:t>
      </w:r>
    </w:p>
    <w:p w:rsidR="005537AE" w:rsidRPr="00384E46" w:rsidRDefault="005537AE" w:rsidP="005537AE">
      <w:pPr>
        <w:jc w:val="both"/>
        <w:rPr>
          <w:rFonts w:ascii="Times New Roman" w:hAnsi="Times New Roman" w:cs="Times New Roman"/>
          <w:sz w:val="24"/>
          <w:szCs w:val="24"/>
        </w:rPr>
      </w:pPr>
      <w:r w:rsidRPr="00D11B50">
        <w:rPr>
          <w:rFonts w:ascii="Times New Roman" w:hAnsi="Times New Roman" w:cs="Times New Roman"/>
          <w:b/>
          <w:sz w:val="24"/>
          <w:szCs w:val="24"/>
        </w:rPr>
        <w:lastRenderedPageBreak/>
        <w:t xml:space="preserve">Afghanistan </w:t>
      </w:r>
      <w:r w:rsidRPr="00384E46">
        <w:rPr>
          <w:rFonts w:ascii="Times New Roman" w:hAnsi="Times New Roman" w:cs="Times New Roman"/>
          <w:sz w:val="24"/>
          <w:szCs w:val="24"/>
        </w:rPr>
        <w:t xml:space="preserve">continued to record the highest number of casualties in 2015, although the annual total for the country remained almost the same, with just 14 casualties more than </w:t>
      </w:r>
      <w:r>
        <w:rPr>
          <w:rFonts w:ascii="Times New Roman" w:hAnsi="Times New Roman" w:cs="Times New Roman"/>
          <w:sz w:val="24"/>
          <w:szCs w:val="24"/>
        </w:rPr>
        <w:t xml:space="preserve">the number reported </w:t>
      </w:r>
      <w:r w:rsidRPr="00384E46">
        <w:rPr>
          <w:rFonts w:ascii="Times New Roman" w:hAnsi="Times New Roman" w:cs="Times New Roman"/>
          <w:sz w:val="24"/>
          <w:szCs w:val="24"/>
        </w:rPr>
        <w:t>in 2014.</w:t>
      </w:r>
      <w:r>
        <w:rPr>
          <w:rFonts w:ascii="Times New Roman" w:hAnsi="Times New Roman" w:cs="Times New Roman"/>
          <w:sz w:val="24"/>
          <w:szCs w:val="24"/>
        </w:rPr>
        <w:t xml:space="preserve"> All recorded casualties were civilians, including deminers.</w:t>
      </w:r>
    </w:p>
    <w:p w:rsidR="005537AE" w:rsidRDefault="005537AE" w:rsidP="005537AE">
      <w:pPr>
        <w:jc w:val="both"/>
        <w:rPr>
          <w:rFonts w:ascii="Times New Roman" w:hAnsi="Times New Roman" w:cs="Times New Roman"/>
          <w:sz w:val="24"/>
          <w:szCs w:val="24"/>
        </w:rPr>
      </w:pPr>
      <w:r w:rsidRPr="00384E46">
        <w:rPr>
          <w:rFonts w:ascii="Times New Roman" w:hAnsi="Times New Roman" w:cs="Times New Roman"/>
          <w:sz w:val="24"/>
          <w:szCs w:val="24"/>
        </w:rPr>
        <w:t xml:space="preserve">In 2015 some three-quarters (74%, or 4,755) of all mine/ERW casualties recorded for 2015 occurred in five states, all of which are conflict-affected, including </w:t>
      </w:r>
      <w:r w:rsidRPr="00D11B50">
        <w:rPr>
          <w:rFonts w:ascii="Times New Roman" w:hAnsi="Times New Roman" w:cs="Times New Roman"/>
          <w:b/>
          <w:sz w:val="24"/>
          <w:szCs w:val="24"/>
        </w:rPr>
        <w:t>Afghanistan,</w:t>
      </w:r>
      <w:r w:rsidRPr="00384E46">
        <w:rPr>
          <w:rFonts w:ascii="Times New Roman" w:hAnsi="Times New Roman" w:cs="Times New Roman"/>
          <w:sz w:val="24"/>
          <w:szCs w:val="24"/>
        </w:rPr>
        <w:t xml:space="preserve"> as well as states Ukraine, Yemen, Syria and Libya. </w:t>
      </w:r>
    </w:p>
    <w:p w:rsidR="005537AE" w:rsidRDefault="005537AE" w:rsidP="005537AE">
      <w:pPr>
        <w:jc w:val="both"/>
        <w:rPr>
          <w:rFonts w:ascii="Times New Roman" w:hAnsi="Times New Roman" w:cs="Times New Roman"/>
          <w:sz w:val="24"/>
          <w:szCs w:val="24"/>
        </w:rPr>
      </w:pPr>
    </w:p>
    <w:p w:rsidR="005537AE" w:rsidRDefault="005537AE" w:rsidP="005537AE">
      <w:pPr>
        <w:jc w:val="center"/>
        <w:rPr>
          <w:rFonts w:ascii="Times New Roman" w:hAnsi="Times New Roman" w:cs="Times New Roman"/>
          <w:sz w:val="24"/>
          <w:szCs w:val="24"/>
        </w:rPr>
      </w:pPr>
      <w:r w:rsidRPr="000325FA">
        <w:rPr>
          <w:rFonts w:ascii="Times New Roman" w:hAnsi="Times New Roman" w:cs="Times New Roman"/>
          <w:b/>
          <w:sz w:val="24"/>
          <w:szCs w:val="24"/>
        </w:rPr>
        <w:t>Casualties in 2015</w:t>
      </w:r>
    </w:p>
    <w:tbl>
      <w:tblPr>
        <w:tblW w:w="5000" w:type="pct"/>
        <w:tblLook w:val="04A0"/>
      </w:tblPr>
      <w:tblGrid>
        <w:gridCol w:w="4633"/>
        <w:gridCol w:w="4943"/>
      </w:tblGrid>
      <w:tr w:rsidR="005537AE" w:rsidRPr="00D11B50" w:rsidTr="00250492">
        <w:trPr>
          <w:trHeight w:val="300"/>
        </w:trPr>
        <w:tc>
          <w:tcPr>
            <w:tcW w:w="2419" w:type="pct"/>
            <w:tcBorders>
              <w:top w:val="single" w:sz="4" w:space="0" w:color="auto"/>
              <w:left w:val="single" w:sz="4" w:space="0" w:color="auto"/>
              <w:bottom w:val="single" w:sz="4" w:space="0" w:color="95B3D7"/>
              <w:right w:val="nil"/>
            </w:tcBorders>
            <w:shd w:val="clear" w:color="DCE6F1" w:fill="DCE6F1"/>
            <w:noWrap/>
            <w:vAlign w:val="bottom"/>
            <w:hideMark/>
          </w:tcPr>
          <w:p w:rsidR="005537AE" w:rsidRPr="00D11B50" w:rsidRDefault="005537AE" w:rsidP="00250492">
            <w:pPr>
              <w:spacing w:after="0" w:line="240" w:lineRule="auto"/>
              <w:rPr>
                <w:rFonts w:ascii="Calibri" w:eastAsia="Times New Roman" w:hAnsi="Calibri" w:cs="Calibri"/>
                <w:b/>
                <w:bCs/>
                <w:color w:val="000000"/>
              </w:rPr>
            </w:pPr>
            <w:r w:rsidRPr="00D11B50">
              <w:rPr>
                <w:rFonts w:ascii="Calibri" w:eastAsia="Times New Roman" w:hAnsi="Calibri" w:cs="Calibri"/>
                <w:b/>
                <w:bCs/>
                <w:color w:val="000000"/>
              </w:rPr>
              <w:t>Row Labels</w:t>
            </w:r>
          </w:p>
        </w:tc>
        <w:tc>
          <w:tcPr>
            <w:tcW w:w="2581" w:type="pct"/>
            <w:tcBorders>
              <w:top w:val="single" w:sz="4" w:space="0" w:color="auto"/>
              <w:left w:val="nil"/>
              <w:bottom w:val="single" w:sz="4" w:space="0" w:color="95B3D7"/>
              <w:right w:val="single" w:sz="4" w:space="0" w:color="auto"/>
            </w:tcBorders>
            <w:shd w:val="clear" w:color="DCE6F1" w:fill="DCE6F1"/>
            <w:noWrap/>
            <w:vAlign w:val="bottom"/>
            <w:hideMark/>
          </w:tcPr>
          <w:p w:rsidR="005537AE" w:rsidRPr="00D11B50" w:rsidRDefault="005537AE" w:rsidP="00250492">
            <w:pPr>
              <w:spacing w:after="0" w:line="240" w:lineRule="auto"/>
              <w:jc w:val="right"/>
              <w:rPr>
                <w:rFonts w:ascii="Calibri" w:eastAsia="Times New Roman" w:hAnsi="Calibri" w:cs="Calibri"/>
                <w:b/>
                <w:bCs/>
                <w:color w:val="000000"/>
              </w:rPr>
            </w:pPr>
            <w:r>
              <w:rPr>
                <w:rFonts w:ascii="Calibri" w:eastAsia="Times New Roman" w:hAnsi="Calibri" w:cs="Calibri"/>
                <w:b/>
                <w:bCs/>
                <w:color w:val="000000"/>
              </w:rPr>
              <w:t>Casualties</w:t>
            </w:r>
          </w:p>
        </w:tc>
      </w:tr>
      <w:tr w:rsidR="005537AE" w:rsidRPr="00D11B50" w:rsidTr="00250492">
        <w:trPr>
          <w:trHeight w:val="300"/>
        </w:trPr>
        <w:tc>
          <w:tcPr>
            <w:tcW w:w="2419" w:type="pct"/>
            <w:tcBorders>
              <w:top w:val="nil"/>
              <w:left w:val="single" w:sz="4" w:space="0" w:color="auto"/>
              <w:bottom w:val="nil"/>
              <w:right w:val="nil"/>
            </w:tcBorders>
            <w:shd w:val="clear" w:color="auto" w:fill="auto"/>
            <w:noWrap/>
            <w:vAlign w:val="bottom"/>
            <w:hideMark/>
          </w:tcPr>
          <w:p w:rsidR="005537AE" w:rsidRPr="00D11B50" w:rsidRDefault="005537AE" w:rsidP="00250492">
            <w:pPr>
              <w:spacing w:after="0" w:line="240" w:lineRule="auto"/>
              <w:rPr>
                <w:rFonts w:ascii="Calibri" w:eastAsia="Times New Roman" w:hAnsi="Calibri" w:cs="Calibri"/>
                <w:color w:val="000000"/>
              </w:rPr>
            </w:pPr>
            <w:r w:rsidRPr="00D11B50">
              <w:rPr>
                <w:rFonts w:ascii="Calibri" w:eastAsia="Times New Roman" w:hAnsi="Calibri" w:cs="Calibri"/>
                <w:color w:val="000000"/>
              </w:rPr>
              <w:t>Injured</w:t>
            </w:r>
          </w:p>
        </w:tc>
        <w:tc>
          <w:tcPr>
            <w:tcW w:w="2581" w:type="pct"/>
            <w:tcBorders>
              <w:top w:val="nil"/>
              <w:left w:val="nil"/>
              <w:bottom w:val="nil"/>
              <w:right w:val="single" w:sz="4" w:space="0" w:color="auto"/>
            </w:tcBorders>
            <w:shd w:val="clear" w:color="auto" w:fill="auto"/>
            <w:noWrap/>
            <w:vAlign w:val="bottom"/>
            <w:hideMark/>
          </w:tcPr>
          <w:p w:rsidR="005537AE" w:rsidRPr="00D11B50" w:rsidRDefault="005537AE" w:rsidP="00250492">
            <w:pPr>
              <w:spacing w:after="0" w:line="240" w:lineRule="auto"/>
              <w:jc w:val="right"/>
              <w:rPr>
                <w:rFonts w:ascii="Calibri" w:eastAsia="Times New Roman" w:hAnsi="Calibri" w:cs="Calibri"/>
                <w:color w:val="000000"/>
              </w:rPr>
            </w:pPr>
            <w:r w:rsidRPr="00D11B50">
              <w:rPr>
                <w:rFonts w:ascii="Calibri" w:eastAsia="Times New Roman" w:hAnsi="Calibri" w:cs="Calibri"/>
                <w:color w:val="000000"/>
              </w:rPr>
              <w:t>778</w:t>
            </w:r>
          </w:p>
        </w:tc>
      </w:tr>
      <w:tr w:rsidR="005537AE" w:rsidRPr="00D11B50" w:rsidTr="00250492">
        <w:trPr>
          <w:trHeight w:val="300"/>
        </w:trPr>
        <w:tc>
          <w:tcPr>
            <w:tcW w:w="2419" w:type="pct"/>
            <w:tcBorders>
              <w:top w:val="nil"/>
              <w:left w:val="single" w:sz="4" w:space="0" w:color="auto"/>
              <w:bottom w:val="nil"/>
              <w:right w:val="nil"/>
            </w:tcBorders>
            <w:shd w:val="clear" w:color="auto" w:fill="F2F2F2" w:themeFill="background1" w:themeFillShade="F2"/>
            <w:noWrap/>
            <w:vAlign w:val="bottom"/>
            <w:hideMark/>
          </w:tcPr>
          <w:p w:rsidR="005537AE" w:rsidRPr="00D11B50" w:rsidRDefault="005537AE" w:rsidP="00250492">
            <w:pPr>
              <w:spacing w:after="0" w:line="240" w:lineRule="auto"/>
              <w:rPr>
                <w:rFonts w:ascii="Calibri" w:eastAsia="Times New Roman" w:hAnsi="Calibri" w:cs="Calibri"/>
                <w:color w:val="000000"/>
              </w:rPr>
            </w:pPr>
            <w:r w:rsidRPr="00D11B50">
              <w:rPr>
                <w:rFonts w:ascii="Calibri" w:eastAsia="Times New Roman" w:hAnsi="Calibri" w:cs="Calibri"/>
                <w:color w:val="000000"/>
              </w:rPr>
              <w:t>Killed</w:t>
            </w:r>
          </w:p>
        </w:tc>
        <w:tc>
          <w:tcPr>
            <w:tcW w:w="2581" w:type="pct"/>
            <w:tcBorders>
              <w:top w:val="nil"/>
              <w:left w:val="nil"/>
              <w:bottom w:val="nil"/>
              <w:right w:val="single" w:sz="4" w:space="0" w:color="auto"/>
            </w:tcBorders>
            <w:shd w:val="clear" w:color="auto" w:fill="F2F2F2" w:themeFill="background1" w:themeFillShade="F2"/>
            <w:noWrap/>
            <w:vAlign w:val="bottom"/>
            <w:hideMark/>
          </w:tcPr>
          <w:p w:rsidR="005537AE" w:rsidRPr="00D11B50" w:rsidRDefault="005537AE" w:rsidP="00250492">
            <w:pPr>
              <w:spacing w:after="0" w:line="240" w:lineRule="auto"/>
              <w:jc w:val="right"/>
              <w:rPr>
                <w:rFonts w:ascii="Calibri" w:eastAsia="Times New Roman" w:hAnsi="Calibri" w:cs="Calibri"/>
                <w:color w:val="000000"/>
              </w:rPr>
            </w:pPr>
            <w:r w:rsidRPr="00D11B50">
              <w:rPr>
                <w:rFonts w:ascii="Calibri" w:eastAsia="Times New Roman" w:hAnsi="Calibri" w:cs="Calibri"/>
                <w:color w:val="000000"/>
              </w:rPr>
              <w:t>532</w:t>
            </w:r>
          </w:p>
        </w:tc>
      </w:tr>
      <w:tr w:rsidR="005537AE" w:rsidRPr="00D11B50" w:rsidTr="00250492">
        <w:trPr>
          <w:trHeight w:val="300"/>
        </w:trPr>
        <w:tc>
          <w:tcPr>
            <w:tcW w:w="2419" w:type="pct"/>
            <w:tcBorders>
              <w:top w:val="single" w:sz="4" w:space="0" w:color="95B3D7"/>
              <w:left w:val="single" w:sz="4" w:space="0" w:color="auto"/>
              <w:bottom w:val="single" w:sz="4" w:space="0" w:color="auto"/>
              <w:right w:val="nil"/>
            </w:tcBorders>
            <w:shd w:val="clear" w:color="DCE6F1" w:fill="DCE6F1"/>
            <w:noWrap/>
            <w:vAlign w:val="bottom"/>
            <w:hideMark/>
          </w:tcPr>
          <w:p w:rsidR="005537AE" w:rsidRPr="00D11B50" w:rsidRDefault="005537AE" w:rsidP="00250492">
            <w:pPr>
              <w:spacing w:after="0" w:line="240" w:lineRule="auto"/>
              <w:rPr>
                <w:rFonts w:ascii="Calibri" w:eastAsia="Times New Roman" w:hAnsi="Calibri" w:cs="Calibri"/>
                <w:b/>
                <w:bCs/>
                <w:color w:val="000000"/>
              </w:rPr>
            </w:pPr>
            <w:r w:rsidRPr="00D11B50">
              <w:rPr>
                <w:rFonts w:ascii="Calibri" w:eastAsia="Times New Roman" w:hAnsi="Calibri" w:cs="Calibri"/>
                <w:b/>
                <w:bCs/>
                <w:color w:val="000000"/>
              </w:rPr>
              <w:t>Grand Total</w:t>
            </w:r>
          </w:p>
        </w:tc>
        <w:tc>
          <w:tcPr>
            <w:tcW w:w="2581" w:type="pct"/>
            <w:tcBorders>
              <w:top w:val="single" w:sz="4" w:space="0" w:color="95B3D7"/>
              <w:left w:val="nil"/>
              <w:bottom w:val="single" w:sz="4" w:space="0" w:color="auto"/>
              <w:right w:val="single" w:sz="4" w:space="0" w:color="auto"/>
            </w:tcBorders>
            <w:shd w:val="clear" w:color="DCE6F1" w:fill="DCE6F1"/>
            <w:noWrap/>
            <w:vAlign w:val="bottom"/>
            <w:hideMark/>
          </w:tcPr>
          <w:p w:rsidR="005537AE" w:rsidRPr="00D11B50" w:rsidRDefault="005537AE" w:rsidP="00250492">
            <w:pPr>
              <w:spacing w:after="0" w:line="240" w:lineRule="auto"/>
              <w:jc w:val="right"/>
              <w:rPr>
                <w:rFonts w:ascii="Calibri" w:eastAsia="Times New Roman" w:hAnsi="Calibri" w:cs="Calibri"/>
                <w:b/>
                <w:bCs/>
                <w:color w:val="000000"/>
              </w:rPr>
            </w:pPr>
            <w:r w:rsidRPr="00D11B50">
              <w:rPr>
                <w:rFonts w:ascii="Calibri" w:eastAsia="Times New Roman" w:hAnsi="Calibri" w:cs="Calibri"/>
                <w:b/>
                <w:bCs/>
                <w:color w:val="000000"/>
              </w:rPr>
              <w:t>1310</w:t>
            </w:r>
          </w:p>
        </w:tc>
      </w:tr>
    </w:tbl>
    <w:p w:rsidR="005537AE" w:rsidRPr="000325FA" w:rsidRDefault="005537AE" w:rsidP="005537AE">
      <w:pPr>
        <w:jc w:val="center"/>
        <w:rPr>
          <w:rFonts w:ascii="Times New Roman" w:hAnsi="Times New Roman" w:cs="Times New Roman"/>
          <w:b/>
          <w:sz w:val="24"/>
          <w:szCs w:val="24"/>
        </w:rPr>
      </w:pPr>
    </w:p>
    <w:tbl>
      <w:tblPr>
        <w:tblW w:w="5000" w:type="pct"/>
        <w:tblLook w:val="04A0"/>
      </w:tblPr>
      <w:tblGrid>
        <w:gridCol w:w="6154"/>
        <w:gridCol w:w="3422"/>
      </w:tblGrid>
      <w:tr w:rsidR="005537AE" w:rsidRPr="000325FA" w:rsidTr="00250492">
        <w:trPr>
          <w:trHeight w:val="300"/>
        </w:trPr>
        <w:tc>
          <w:tcPr>
            <w:tcW w:w="3213" w:type="pct"/>
            <w:tcBorders>
              <w:top w:val="single" w:sz="4" w:space="0" w:color="auto"/>
              <w:left w:val="single" w:sz="4" w:space="0" w:color="auto"/>
              <w:bottom w:val="single" w:sz="4" w:space="0" w:color="95B3D7"/>
              <w:right w:val="nil"/>
            </w:tcBorders>
            <w:shd w:val="clear" w:color="DCE6F1" w:fill="DCE6F1"/>
            <w:noWrap/>
            <w:vAlign w:val="bottom"/>
            <w:hideMark/>
          </w:tcPr>
          <w:p w:rsidR="005537AE" w:rsidRPr="000325FA" w:rsidRDefault="005537AE" w:rsidP="00250492">
            <w:pPr>
              <w:spacing w:after="0" w:line="240" w:lineRule="auto"/>
              <w:rPr>
                <w:rFonts w:ascii="Calibri" w:eastAsia="Times New Roman" w:hAnsi="Calibri" w:cs="Calibri"/>
                <w:b/>
                <w:bCs/>
                <w:color w:val="000000"/>
              </w:rPr>
            </w:pPr>
            <w:r>
              <w:rPr>
                <w:rFonts w:ascii="Calibri" w:eastAsia="Times New Roman" w:hAnsi="Calibri" w:cs="Calibri"/>
                <w:b/>
                <w:bCs/>
                <w:color w:val="000000"/>
              </w:rPr>
              <w:t>Device</w:t>
            </w:r>
          </w:p>
        </w:tc>
        <w:tc>
          <w:tcPr>
            <w:tcW w:w="1787" w:type="pct"/>
            <w:tcBorders>
              <w:top w:val="single" w:sz="4" w:space="0" w:color="auto"/>
              <w:left w:val="nil"/>
              <w:bottom w:val="single" w:sz="4" w:space="0" w:color="95B3D7"/>
              <w:right w:val="single" w:sz="4" w:space="0" w:color="auto"/>
            </w:tcBorders>
            <w:shd w:val="clear" w:color="DCE6F1" w:fill="DCE6F1"/>
            <w:noWrap/>
            <w:vAlign w:val="bottom"/>
            <w:hideMark/>
          </w:tcPr>
          <w:p w:rsidR="005537AE" w:rsidRPr="000325FA" w:rsidRDefault="005537AE" w:rsidP="00250492">
            <w:pPr>
              <w:spacing w:after="0" w:line="240" w:lineRule="auto"/>
              <w:jc w:val="right"/>
              <w:rPr>
                <w:rFonts w:ascii="Calibri" w:eastAsia="Times New Roman" w:hAnsi="Calibri" w:cs="Calibri"/>
                <w:b/>
                <w:bCs/>
                <w:color w:val="000000"/>
              </w:rPr>
            </w:pPr>
            <w:r>
              <w:rPr>
                <w:rFonts w:ascii="Calibri" w:eastAsia="Times New Roman" w:hAnsi="Calibri" w:cs="Calibri"/>
                <w:b/>
                <w:bCs/>
                <w:color w:val="000000"/>
              </w:rPr>
              <w:t>Casualties</w:t>
            </w:r>
          </w:p>
        </w:tc>
      </w:tr>
      <w:tr w:rsidR="005537AE" w:rsidRPr="000325FA" w:rsidTr="00250492">
        <w:trPr>
          <w:trHeight w:val="300"/>
        </w:trPr>
        <w:tc>
          <w:tcPr>
            <w:tcW w:w="3213" w:type="pct"/>
            <w:tcBorders>
              <w:top w:val="nil"/>
              <w:left w:val="single" w:sz="4" w:space="0" w:color="auto"/>
              <w:bottom w:val="nil"/>
              <w:right w:val="nil"/>
            </w:tcBorders>
            <w:shd w:val="clear" w:color="auto" w:fill="auto"/>
            <w:noWrap/>
            <w:vAlign w:val="bottom"/>
            <w:hideMark/>
          </w:tcPr>
          <w:p w:rsidR="005537AE" w:rsidRPr="000325FA" w:rsidRDefault="005537AE" w:rsidP="00250492">
            <w:pPr>
              <w:spacing w:after="0" w:line="240" w:lineRule="auto"/>
              <w:rPr>
                <w:rFonts w:ascii="Calibri" w:eastAsia="Times New Roman" w:hAnsi="Calibri" w:cs="Calibri"/>
                <w:color w:val="000000"/>
              </w:rPr>
            </w:pPr>
            <w:r w:rsidRPr="000325FA">
              <w:rPr>
                <w:rFonts w:ascii="Calibri" w:eastAsia="Times New Roman" w:hAnsi="Calibri" w:cs="Calibri"/>
                <w:color w:val="000000"/>
              </w:rPr>
              <w:t>A</w:t>
            </w:r>
            <w:r>
              <w:rPr>
                <w:rFonts w:ascii="Calibri" w:eastAsia="Times New Roman" w:hAnsi="Calibri" w:cs="Calibri"/>
                <w:color w:val="000000"/>
              </w:rPr>
              <w:t>ntipersonnel</w:t>
            </w:r>
            <w:r w:rsidRPr="000325FA">
              <w:rPr>
                <w:rFonts w:ascii="Calibri" w:eastAsia="Times New Roman" w:hAnsi="Calibri" w:cs="Calibri"/>
                <w:color w:val="000000"/>
              </w:rPr>
              <w:t xml:space="preserve"> Mine</w:t>
            </w:r>
          </w:p>
        </w:tc>
        <w:tc>
          <w:tcPr>
            <w:tcW w:w="1787" w:type="pct"/>
            <w:tcBorders>
              <w:top w:val="nil"/>
              <w:left w:val="nil"/>
              <w:bottom w:val="nil"/>
              <w:right w:val="single" w:sz="4" w:space="0" w:color="auto"/>
            </w:tcBorders>
            <w:shd w:val="clear" w:color="auto" w:fill="auto"/>
            <w:noWrap/>
            <w:vAlign w:val="bottom"/>
            <w:hideMark/>
          </w:tcPr>
          <w:p w:rsidR="005537AE" w:rsidRPr="000325FA" w:rsidRDefault="005537AE" w:rsidP="00250492">
            <w:pPr>
              <w:spacing w:after="0" w:line="240" w:lineRule="auto"/>
              <w:jc w:val="right"/>
              <w:rPr>
                <w:rFonts w:ascii="Calibri" w:eastAsia="Times New Roman" w:hAnsi="Calibri" w:cs="Calibri"/>
                <w:color w:val="000000"/>
              </w:rPr>
            </w:pPr>
            <w:r w:rsidRPr="000325FA">
              <w:rPr>
                <w:rFonts w:ascii="Calibri" w:eastAsia="Times New Roman" w:hAnsi="Calibri" w:cs="Calibri"/>
                <w:color w:val="000000"/>
              </w:rPr>
              <w:t>13</w:t>
            </w:r>
          </w:p>
        </w:tc>
      </w:tr>
      <w:tr w:rsidR="005537AE" w:rsidRPr="000325FA" w:rsidTr="00250492">
        <w:trPr>
          <w:trHeight w:val="300"/>
        </w:trPr>
        <w:tc>
          <w:tcPr>
            <w:tcW w:w="3213" w:type="pct"/>
            <w:tcBorders>
              <w:top w:val="nil"/>
              <w:left w:val="single" w:sz="4" w:space="0" w:color="auto"/>
              <w:bottom w:val="nil"/>
              <w:right w:val="nil"/>
            </w:tcBorders>
            <w:shd w:val="clear" w:color="auto" w:fill="F2F2F2" w:themeFill="background1" w:themeFillShade="F2"/>
            <w:noWrap/>
            <w:vAlign w:val="bottom"/>
            <w:hideMark/>
          </w:tcPr>
          <w:p w:rsidR="005537AE" w:rsidRPr="000325FA" w:rsidRDefault="005537AE" w:rsidP="00250492">
            <w:pPr>
              <w:spacing w:after="0" w:line="240" w:lineRule="auto"/>
              <w:rPr>
                <w:rFonts w:ascii="Calibri" w:eastAsia="Times New Roman" w:hAnsi="Calibri" w:cs="Calibri"/>
                <w:color w:val="000000"/>
              </w:rPr>
            </w:pPr>
            <w:r w:rsidRPr="000325FA">
              <w:rPr>
                <w:rFonts w:ascii="Calibri" w:eastAsia="Times New Roman" w:hAnsi="Calibri" w:cs="Calibri"/>
                <w:color w:val="000000"/>
              </w:rPr>
              <w:t>A</w:t>
            </w:r>
            <w:r>
              <w:rPr>
                <w:rFonts w:ascii="Calibri" w:eastAsia="Times New Roman" w:hAnsi="Calibri" w:cs="Calibri"/>
                <w:color w:val="000000"/>
              </w:rPr>
              <w:t>ntivehicle</w:t>
            </w:r>
            <w:r w:rsidRPr="000325FA">
              <w:rPr>
                <w:rFonts w:ascii="Calibri" w:eastAsia="Times New Roman" w:hAnsi="Calibri" w:cs="Calibri"/>
                <w:color w:val="000000"/>
              </w:rPr>
              <w:t xml:space="preserve"> Mine</w:t>
            </w:r>
          </w:p>
        </w:tc>
        <w:tc>
          <w:tcPr>
            <w:tcW w:w="1787" w:type="pct"/>
            <w:tcBorders>
              <w:top w:val="nil"/>
              <w:left w:val="nil"/>
              <w:bottom w:val="nil"/>
              <w:right w:val="single" w:sz="4" w:space="0" w:color="auto"/>
            </w:tcBorders>
            <w:shd w:val="clear" w:color="auto" w:fill="F2F2F2" w:themeFill="background1" w:themeFillShade="F2"/>
            <w:noWrap/>
            <w:vAlign w:val="bottom"/>
            <w:hideMark/>
          </w:tcPr>
          <w:p w:rsidR="005537AE" w:rsidRPr="000325FA" w:rsidRDefault="005537AE" w:rsidP="00250492">
            <w:pPr>
              <w:spacing w:after="0" w:line="240" w:lineRule="auto"/>
              <w:jc w:val="right"/>
              <w:rPr>
                <w:rFonts w:ascii="Calibri" w:eastAsia="Times New Roman" w:hAnsi="Calibri" w:cs="Calibri"/>
                <w:color w:val="000000"/>
              </w:rPr>
            </w:pPr>
            <w:r w:rsidRPr="000325FA">
              <w:rPr>
                <w:rFonts w:ascii="Calibri" w:eastAsia="Times New Roman" w:hAnsi="Calibri" w:cs="Calibri"/>
                <w:color w:val="000000"/>
              </w:rPr>
              <w:t>10</w:t>
            </w:r>
          </w:p>
        </w:tc>
      </w:tr>
      <w:tr w:rsidR="005537AE" w:rsidRPr="000325FA" w:rsidTr="00250492">
        <w:trPr>
          <w:trHeight w:val="300"/>
        </w:trPr>
        <w:tc>
          <w:tcPr>
            <w:tcW w:w="3213" w:type="pct"/>
            <w:tcBorders>
              <w:top w:val="nil"/>
              <w:left w:val="single" w:sz="4" w:space="0" w:color="auto"/>
              <w:bottom w:val="nil"/>
              <w:right w:val="nil"/>
            </w:tcBorders>
            <w:shd w:val="clear" w:color="auto" w:fill="auto"/>
            <w:noWrap/>
            <w:vAlign w:val="bottom"/>
            <w:hideMark/>
          </w:tcPr>
          <w:p w:rsidR="005537AE" w:rsidRPr="000325FA" w:rsidRDefault="005537AE" w:rsidP="00250492">
            <w:pPr>
              <w:spacing w:after="0" w:line="240" w:lineRule="auto"/>
              <w:rPr>
                <w:rFonts w:ascii="Calibri" w:eastAsia="Times New Roman" w:hAnsi="Calibri" w:cs="Calibri"/>
                <w:color w:val="000000"/>
              </w:rPr>
            </w:pPr>
            <w:r w:rsidRPr="000325FA">
              <w:rPr>
                <w:rFonts w:ascii="Calibri" w:eastAsia="Times New Roman" w:hAnsi="Calibri" w:cs="Calibri"/>
                <w:color w:val="000000"/>
              </w:rPr>
              <w:t>Cluster Submunition</w:t>
            </w:r>
          </w:p>
        </w:tc>
        <w:tc>
          <w:tcPr>
            <w:tcW w:w="1787" w:type="pct"/>
            <w:tcBorders>
              <w:top w:val="nil"/>
              <w:left w:val="nil"/>
              <w:bottom w:val="nil"/>
              <w:right w:val="single" w:sz="4" w:space="0" w:color="auto"/>
            </w:tcBorders>
            <w:shd w:val="clear" w:color="auto" w:fill="auto"/>
            <w:noWrap/>
            <w:vAlign w:val="bottom"/>
            <w:hideMark/>
          </w:tcPr>
          <w:p w:rsidR="005537AE" w:rsidRPr="000325FA" w:rsidRDefault="005537AE" w:rsidP="00250492">
            <w:pPr>
              <w:spacing w:after="0" w:line="240" w:lineRule="auto"/>
              <w:jc w:val="right"/>
              <w:rPr>
                <w:rFonts w:ascii="Calibri" w:eastAsia="Times New Roman" w:hAnsi="Calibri" w:cs="Calibri"/>
                <w:color w:val="000000"/>
              </w:rPr>
            </w:pPr>
            <w:r w:rsidRPr="000325FA">
              <w:rPr>
                <w:rFonts w:ascii="Calibri" w:eastAsia="Times New Roman" w:hAnsi="Calibri" w:cs="Calibri"/>
                <w:color w:val="000000"/>
              </w:rPr>
              <w:t>4</w:t>
            </w:r>
          </w:p>
        </w:tc>
      </w:tr>
      <w:tr w:rsidR="005537AE" w:rsidRPr="000325FA" w:rsidTr="00250492">
        <w:trPr>
          <w:trHeight w:val="300"/>
        </w:trPr>
        <w:tc>
          <w:tcPr>
            <w:tcW w:w="3213" w:type="pct"/>
            <w:tcBorders>
              <w:top w:val="nil"/>
              <w:left w:val="single" w:sz="4" w:space="0" w:color="auto"/>
              <w:bottom w:val="nil"/>
              <w:right w:val="nil"/>
            </w:tcBorders>
            <w:shd w:val="clear" w:color="auto" w:fill="F2F2F2" w:themeFill="background1" w:themeFillShade="F2"/>
            <w:noWrap/>
            <w:vAlign w:val="bottom"/>
            <w:hideMark/>
          </w:tcPr>
          <w:p w:rsidR="005537AE" w:rsidRPr="000325FA" w:rsidRDefault="005537AE" w:rsidP="00250492">
            <w:pPr>
              <w:spacing w:after="0" w:line="240" w:lineRule="auto"/>
              <w:rPr>
                <w:rFonts w:ascii="Calibri" w:eastAsia="Times New Roman" w:hAnsi="Calibri" w:cs="Calibri"/>
                <w:color w:val="000000"/>
              </w:rPr>
            </w:pPr>
            <w:r w:rsidRPr="000325FA">
              <w:rPr>
                <w:rFonts w:ascii="Calibri" w:eastAsia="Times New Roman" w:hAnsi="Calibri" w:cs="Calibri"/>
                <w:color w:val="000000"/>
              </w:rPr>
              <w:t>Other ERW</w:t>
            </w:r>
          </w:p>
        </w:tc>
        <w:tc>
          <w:tcPr>
            <w:tcW w:w="1787" w:type="pct"/>
            <w:tcBorders>
              <w:top w:val="nil"/>
              <w:left w:val="nil"/>
              <w:bottom w:val="nil"/>
              <w:right w:val="single" w:sz="4" w:space="0" w:color="auto"/>
            </w:tcBorders>
            <w:shd w:val="clear" w:color="auto" w:fill="F2F2F2" w:themeFill="background1" w:themeFillShade="F2"/>
            <w:noWrap/>
            <w:vAlign w:val="bottom"/>
            <w:hideMark/>
          </w:tcPr>
          <w:p w:rsidR="005537AE" w:rsidRPr="000325FA" w:rsidRDefault="005537AE" w:rsidP="00250492">
            <w:pPr>
              <w:spacing w:after="0" w:line="240" w:lineRule="auto"/>
              <w:jc w:val="right"/>
              <w:rPr>
                <w:rFonts w:ascii="Calibri" w:eastAsia="Times New Roman" w:hAnsi="Calibri" w:cs="Calibri"/>
                <w:color w:val="000000"/>
              </w:rPr>
            </w:pPr>
            <w:r w:rsidRPr="000325FA">
              <w:rPr>
                <w:rFonts w:ascii="Calibri" w:eastAsia="Times New Roman" w:hAnsi="Calibri" w:cs="Calibri"/>
                <w:color w:val="000000"/>
              </w:rPr>
              <w:t>229</w:t>
            </w:r>
          </w:p>
        </w:tc>
      </w:tr>
      <w:tr w:rsidR="005537AE" w:rsidRPr="000325FA" w:rsidTr="00250492">
        <w:trPr>
          <w:trHeight w:val="300"/>
        </w:trPr>
        <w:tc>
          <w:tcPr>
            <w:tcW w:w="3213" w:type="pct"/>
            <w:tcBorders>
              <w:top w:val="nil"/>
              <w:left w:val="single" w:sz="4" w:space="0" w:color="auto"/>
              <w:bottom w:val="nil"/>
              <w:right w:val="nil"/>
            </w:tcBorders>
            <w:shd w:val="clear" w:color="auto" w:fill="auto"/>
            <w:noWrap/>
            <w:vAlign w:val="bottom"/>
            <w:hideMark/>
          </w:tcPr>
          <w:p w:rsidR="005537AE" w:rsidRPr="000325FA" w:rsidRDefault="005537AE" w:rsidP="00250492">
            <w:pPr>
              <w:spacing w:after="0" w:line="240" w:lineRule="auto"/>
              <w:rPr>
                <w:rFonts w:ascii="Calibri" w:eastAsia="Times New Roman" w:hAnsi="Calibri" w:cs="Calibri"/>
                <w:color w:val="000000"/>
              </w:rPr>
            </w:pPr>
            <w:r w:rsidRPr="000325FA">
              <w:rPr>
                <w:rFonts w:ascii="Calibri" w:eastAsia="Times New Roman" w:hAnsi="Calibri" w:cs="Calibri"/>
                <w:color w:val="000000"/>
              </w:rPr>
              <w:t>Victim-Activated IED</w:t>
            </w:r>
          </w:p>
        </w:tc>
        <w:tc>
          <w:tcPr>
            <w:tcW w:w="1787" w:type="pct"/>
            <w:tcBorders>
              <w:top w:val="nil"/>
              <w:left w:val="nil"/>
              <w:bottom w:val="nil"/>
              <w:right w:val="single" w:sz="4" w:space="0" w:color="auto"/>
            </w:tcBorders>
            <w:shd w:val="clear" w:color="auto" w:fill="auto"/>
            <w:noWrap/>
            <w:vAlign w:val="bottom"/>
            <w:hideMark/>
          </w:tcPr>
          <w:p w:rsidR="005537AE" w:rsidRPr="000325FA" w:rsidRDefault="005537AE" w:rsidP="00250492">
            <w:pPr>
              <w:spacing w:after="0" w:line="240" w:lineRule="auto"/>
              <w:jc w:val="right"/>
              <w:rPr>
                <w:rFonts w:ascii="Calibri" w:eastAsia="Times New Roman" w:hAnsi="Calibri" w:cs="Calibri"/>
                <w:color w:val="000000"/>
              </w:rPr>
            </w:pPr>
            <w:r w:rsidRPr="000325FA">
              <w:rPr>
                <w:rFonts w:ascii="Calibri" w:eastAsia="Times New Roman" w:hAnsi="Calibri" w:cs="Calibri"/>
                <w:color w:val="000000"/>
              </w:rPr>
              <w:t>1054</w:t>
            </w:r>
          </w:p>
        </w:tc>
      </w:tr>
      <w:tr w:rsidR="005537AE" w:rsidRPr="000325FA" w:rsidTr="00250492">
        <w:trPr>
          <w:trHeight w:val="300"/>
        </w:trPr>
        <w:tc>
          <w:tcPr>
            <w:tcW w:w="3213" w:type="pct"/>
            <w:tcBorders>
              <w:top w:val="single" w:sz="4" w:space="0" w:color="95B3D7"/>
              <w:left w:val="single" w:sz="4" w:space="0" w:color="auto"/>
              <w:bottom w:val="single" w:sz="4" w:space="0" w:color="auto"/>
              <w:right w:val="nil"/>
            </w:tcBorders>
            <w:shd w:val="clear" w:color="DCE6F1" w:fill="DCE6F1"/>
            <w:noWrap/>
            <w:vAlign w:val="bottom"/>
            <w:hideMark/>
          </w:tcPr>
          <w:p w:rsidR="005537AE" w:rsidRPr="000325FA" w:rsidRDefault="005537AE" w:rsidP="00250492">
            <w:pPr>
              <w:spacing w:after="0" w:line="240" w:lineRule="auto"/>
              <w:rPr>
                <w:rFonts w:ascii="Calibri" w:eastAsia="Times New Roman" w:hAnsi="Calibri" w:cs="Calibri"/>
                <w:b/>
                <w:bCs/>
                <w:color w:val="000000"/>
              </w:rPr>
            </w:pPr>
            <w:r w:rsidRPr="000325FA">
              <w:rPr>
                <w:rFonts w:ascii="Calibri" w:eastAsia="Times New Roman" w:hAnsi="Calibri" w:cs="Calibri"/>
                <w:b/>
                <w:bCs/>
                <w:color w:val="000000"/>
              </w:rPr>
              <w:t>Total</w:t>
            </w:r>
          </w:p>
        </w:tc>
        <w:tc>
          <w:tcPr>
            <w:tcW w:w="1787" w:type="pct"/>
            <w:tcBorders>
              <w:top w:val="single" w:sz="4" w:space="0" w:color="95B3D7"/>
              <w:left w:val="nil"/>
              <w:bottom w:val="single" w:sz="4" w:space="0" w:color="auto"/>
              <w:right w:val="single" w:sz="4" w:space="0" w:color="auto"/>
            </w:tcBorders>
            <w:shd w:val="clear" w:color="DCE6F1" w:fill="DCE6F1"/>
            <w:noWrap/>
            <w:vAlign w:val="bottom"/>
            <w:hideMark/>
          </w:tcPr>
          <w:p w:rsidR="005537AE" w:rsidRPr="000325FA" w:rsidRDefault="005537AE" w:rsidP="00250492">
            <w:pPr>
              <w:spacing w:after="0" w:line="240" w:lineRule="auto"/>
              <w:jc w:val="right"/>
              <w:rPr>
                <w:rFonts w:ascii="Calibri" w:eastAsia="Times New Roman" w:hAnsi="Calibri" w:cs="Calibri"/>
                <w:b/>
                <w:bCs/>
                <w:color w:val="000000"/>
              </w:rPr>
            </w:pPr>
            <w:r w:rsidRPr="000325FA">
              <w:rPr>
                <w:rFonts w:ascii="Calibri" w:eastAsia="Times New Roman" w:hAnsi="Calibri" w:cs="Calibri"/>
                <w:b/>
                <w:bCs/>
                <w:color w:val="000000"/>
              </w:rPr>
              <w:t>1310</w:t>
            </w:r>
          </w:p>
        </w:tc>
      </w:tr>
    </w:tbl>
    <w:p w:rsidR="005537AE" w:rsidRDefault="005537AE" w:rsidP="005537AE">
      <w:pPr>
        <w:rPr>
          <w:rFonts w:ascii="Times New Roman" w:hAnsi="Times New Roman" w:cs="Times New Roman"/>
          <w:b/>
          <w:bCs/>
          <w:sz w:val="24"/>
          <w:szCs w:val="24"/>
        </w:rPr>
      </w:pPr>
    </w:p>
    <w:tbl>
      <w:tblPr>
        <w:tblW w:w="5000" w:type="pct"/>
        <w:tblLook w:val="04A0"/>
      </w:tblPr>
      <w:tblGrid>
        <w:gridCol w:w="4633"/>
        <w:gridCol w:w="4943"/>
      </w:tblGrid>
      <w:tr w:rsidR="005537AE" w:rsidRPr="000325FA" w:rsidTr="00250492">
        <w:trPr>
          <w:trHeight w:val="300"/>
        </w:trPr>
        <w:tc>
          <w:tcPr>
            <w:tcW w:w="2419" w:type="pct"/>
            <w:tcBorders>
              <w:top w:val="single" w:sz="4" w:space="0" w:color="auto"/>
              <w:left w:val="single" w:sz="4" w:space="0" w:color="auto"/>
              <w:bottom w:val="single" w:sz="4" w:space="0" w:color="95B3D7"/>
              <w:right w:val="nil"/>
            </w:tcBorders>
            <w:shd w:val="clear" w:color="DCE6F1" w:fill="DCE6F1"/>
            <w:noWrap/>
            <w:vAlign w:val="bottom"/>
            <w:hideMark/>
          </w:tcPr>
          <w:p w:rsidR="005537AE" w:rsidRPr="000325FA" w:rsidRDefault="005537AE" w:rsidP="00250492">
            <w:pPr>
              <w:spacing w:after="0" w:line="240" w:lineRule="auto"/>
              <w:rPr>
                <w:rFonts w:ascii="Calibri" w:eastAsia="Times New Roman" w:hAnsi="Calibri" w:cs="Calibri"/>
                <w:b/>
                <w:bCs/>
                <w:color w:val="000000"/>
              </w:rPr>
            </w:pPr>
            <w:r>
              <w:rPr>
                <w:rFonts w:ascii="Calibri" w:eastAsia="Times New Roman" w:hAnsi="Calibri" w:cs="Calibri"/>
                <w:b/>
                <w:bCs/>
                <w:color w:val="000000"/>
              </w:rPr>
              <w:t>Age group</w:t>
            </w:r>
          </w:p>
        </w:tc>
        <w:tc>
          <w:tcPr>
            <w:tcW w:w="2581" w:type="pct"/>
            <w:tcBorders>
              <w:top w:val="single" w:sz="4" w:space="0" w:color="auto"/>
              <w:left w:val="nil"/>
              <w:bottom w:val="single" w:sz="4" w:space="0" w:color="95B3D7"/>
              <w:right w:val="single" w:sz="4" w:space="0" w:color="auto"/>
            </w:tcBorders>
            <w:shd w:val="clear" w:color="DCE6F1" w:fill="DCE6F1"/>
            <w:noWrap/>
            <w:vAlign w:val="bottom"/>
            <w:hideMark/>
          </w:tcPr>
          <w:p w:rsidR="005537AE" w:rsidRPr="000325FA" w:rsidRDefault="005537AE" w:rsidP="00250492">
            <w:pPr>
              <w:spacing w:after="0" w:line="240" w:lineRule="auto"/>
              <w:jc w:val="right"/>
              <w:rPr>
                <w:rFonts w:ascii="Calibri" w:eastAsia="Times New Roman" w:hAnsi="Calibri" w:cs="Calibri"/>
                <w:b/>
                <w:bCs/>
                <w:color w:val="000000"/>
              </w:rPr>
            </w:pPr>
            <w:r>
              <w:rPr>
                <w:rFonts w:ascii="Calibri" w:eastAsia="Times New Roman" w:hAnsi="Calibri" w:cs="Calibri"/>
                <w:b/>
                <w:bCs/>
                <w:color w:val="000000"/>
              </w:rPr>
              <w:t xml:space="preserve">Casualties </w:t>
            </w:r>
          </w:p>
        </w:tc>
      </w:tr>
      <w:tr w:rsidR="005537AE" w:rsidRPr="000325FA" w:rsidTr="00250492">
        <w:trPr>
          <w:trHeight w:val="300"/>
        </w:trPr>
        <w:tc>
          <w:tcPr>
            <w:tcW w:w="2419" w:type="pct"/>
            <w:tcBorders>
              <w:top w:val="nil"/>
              <w:left w:val="single" w:sz="4" w:space="0" w:color="auto"/>
              <w:bottom w:val="nil"/>
              <w:right w:val="nil"/>
            </w:tcBorders>
            <w:shd w:val="clear" w:color="auto" w:fill="auto"/>
            <w:noWrap/>
            <w:vAlign w:val="bottom"/>
            <w:hideMark/>
          </w:tcPr>
          <w:p w:rsidR="005537AE" w:rsidRPr="000325FA" w:rsidRDefault="005537AE" w:rsidP="00250492">
            <w:pPr>
              <w:spacing w:after="0" w:line="240" w:lineRule="auto"/>
              <w:rPr>
                <w:rFonts w:ascii="Calibri" w:eastAsia="Times New Roman" w:hAnsi="Calibri" w:cs="Calibri"/>
                <w:color w:val="000000"/>
              </w:rPr>
            </w:pPr>
            <w:r w:rsidRPr="000325FA">
              <w:rPr>
                <w:rFonts w:ascii="Calibri" w:eastAsia="Times New Roman" w:hAnsi="Calibri" w:cs="Calibri"/>
                <w:color w:val="000000"/>
              </w:rPr>
              <w:t>Adult</w:t>
            </w:r>
          </w:p>
        </w:tc>
        <w:tc>
          <w:tcPr>
            <w:tcW w:w="2581" w:type="pct"/>
            <w:tcBorders>
              <w:top w:val="nil"/>
              <w:left w:val="nil"/>
              <w:bottom w:val="nil"/>
              <w:right w:val="single" w:sz="4" w:space="0" w:color="auto"/>
            </w:tcBorders>
            <w:shd w:val="clear" w:color="auto" w:fill="auto"/>
            <w:noWrap/>
            <w:vAlign w:val="bottom"/>
            <w:hideMark/>
          </w:tcPr>
          <w:p w:rsidR="005537AE" w:rsidRPr="000325FA" w:rsidRDefault="005537AE" w:rsidP="00250492">
            <w:pPr>
              <w:spacing w:after="0" w:line="240" w:lineRule="auto"/>
              <w:jc w:val="right"/>
              <w:rPr>
                <w:rFonts w:ascii="Calibri" w:eastAsia="Times New Roman" w:hAnsi="Calibri" w:cs="Calibri"/>
                <w:color w:val="000000"/>
              </w:rPr>
            </w:pPr>
            <w:r w:rsidRPr="000325FA">
              <w:rPr>
                <w:rFonts w:ascii="Calibri" w:eastAsia="Times New Roman" w:hAnsi="Calibri" w:cs="Calibri"/>
                <w:color w:val="000000"/>
              </w:rPr>
              <w:t>862</w:t>
            </w:r>
          </w:p>
        </w:tc>
      </w:tr>
      <w:tr w:rsidR="005537AE" w:rsidRPr="000325FA" w:rsidTr="00250492">
        <w:trPr>
          <w:trHeight w:val="300"/>
        </w:trPr>
        <w:tc>
          <w:tcPr>
            <w:tcW w:w="2419" w:type="pct"/>
            <w:tcBorders>
              <w:top w:val="nil"/>
              <w:left w:val="single" w:sz="4" w:space="0" w:color="auto"/>
              <w:bottom w:val="nil"/>
              <w:right w:val="nil"/>
            </w:tcBorders>
            <w:shd w:val="clear" w:color="auto" w:fill="F2F2F2" w:themeFill="background1" w:themeFillShade="F2"/>
            <w:noWrap/>
            <w:vAlign w:val="bottom"/>
            <w:hideMark/>
          </w:tcPr>
          <w:p w:rsidR="005537AE" w:rsidRPr="000325FA" w:rsidRDefault="005537AE" w:rsidP="00250492">
            <w:pPr>
              <w:spacing w:after="0" w:line="240" w:lineRule="auto"/>
              <w:rPr>
                <w:rFonts w:ascii="Calibri" w:eastAsia="Times New Roman" w:hAnsi="Calibri" w:cs="Calibri"/>
                <w:color w:val="000000"/>
              </w:rPr>
            </w:pPr>
            <w:r w:rsidRPr="000325FA">
              <w:rPr>
                <w:rFonts w:ascii="Calibri" w:eastAsia="Times New Roman" w:hAnsi="Calibri" w:cs="Calibri"/>
                <w:color w:val="000000"/>
              </w:rPr>
              <w:t>Child</w:t>
            </w:r>
          </w:p>
        </w:tc>
        <w:tc>
          <w:tcPr>
            <w:tcW w:w="2581" w:type="pct"/>
            <w:tcBorders>
              <w:top w:val="nil"/>
              <w:left w:val="nil"/>
              <w:bottom w:val="nil"/>
              <w:right w:val="single" w:sz="4" w:space="0" w:color="auto"/>
            </w:tcBorders>
            <w:shd w:val="clear" w:color="auto" w:fill="F2F2F2" w:themeFill="background1" w:themeFillShade="F2"/>
            <w:noWrap/>
            <w:vAlign w:val="bottom"/>
            <w:hideMark/>
          </w:tcPr>
          <w:p w:rsidR="005537AE" w:rsidRPr="000325FA" w:rsidRDefault="005537AE" w:rsidP="00250492">
            <w:pPr>
              <w:spacing w:after="0" w:line="240" w:lineRule="auto"/>
              <w:jc w:val="right"/>
              <w:rPr>
                <w:rFonts w:ascii="Calibri" w:eastAsia="Times New Roman" w:hAnsi="Calibri" w:cs="Calibri"/>
                <w:color w:val="000000"/>
              </w:rPr>
            </w:pPr>
            <w:r w:rsidRPr="000325FA">
              <w:rPr>
                <w:rFonts w:ascii="Calibri" w:eastAsia="Times New Roman" w:hAnsi="Calibri" w:cs="Calibri"/>
                <w:color w:val="000000"/>
              </w:rPr>
              <w:t>447</w:t>
            </w:r>
          </w:p>
        </w:tc>
      </w:tr>
      <w:tr w:rsidR="005537AE" w:rsidRPr="000325FA" w:rsidTr="00250492">
        <w:trPr>
          <w:trHeight w:val="300"/>
        </w:trPr>
        <w:tc>
          <w:tcPr>
            <w:tcW w:w="2419" w:type="pct"/>
            <w:tcBorders>
              <w:top w:val="nil"/>
              <w:left w:val="single" w:sz="4" w:space="0" w:color="auto"/>
              <w:bottom w:val="nil"/>
              <w:right w:val="nil"/>
            </w:tcBorders>
            <w:shd w:val="clear" w:color="auto" w:fill="auto"/>
            <w:noWrap/>
            <w:vAlign w:val="bottom"/>
            <w:hideMark/>
          </w:tcPr>
          <w:p w:rsidR="005537AE" w:rsidRPr="000325FA" w:rsidRDefault="005537AE" w:rsidP="00250492">
            <w:pPr>
              <w:spacing w:after="0" w:line="240" w:lineRule="auto"/>
              <w:rPr>
                <w:rFonts w:ascii="Calibri" w:eastAsia="Times New Roman" w:hAnsi="Calibri" w:cs="Calibri"/>
                <w:color w:val="000000"/>
              </w:rPr>
            </w:pPr>
            <w:r w:rsidRPr="000325FA">
              <w:rPr>
                <w:rFonts w:ascii="Calibri" w:eastAsia="Times New Roman" w:hAnsi="Calibri" w:cs="Calibri"/>
                <w:color w:val="000000"/>
              </w:rPr>
              <w:t>Unknown</w:t>
            </w:r>
          </w:p>
        </w:tc>
        <w:tc>
          <w:tcPr>
            <w:tcW w:w="2581" w:type="pct"/>
            <w:tcBorders>
              <w:top w:val="nil"/>
              <w:left w:val="nil"/>
              <w:bottom w:val="nil"/>
              <w:right w:val="single" w:sz="4" w:space="0" w:color="auto"/>
            </w:tcBorders>
            <w:shd w:val="clear" w:color="auto" w:fill="auto"/>
            <w:noWrap/>
            <w:vAlign w:val="bottom"/>
            <w:hideMark/>
          </w:tcPr>
          <w:p w:rsidR="005537AE" w:rsidRPr="000325FA" w:rsidRDefault="005537AE" w:rsidP="00250492">
            <w:pPr>
              <w:spacing w:after="0" w:line="240" w:lineRule="auto"/>
              <w:jc w:val="right"/>
              <w:rPr>
                <w:rFonts w:ascii="Calibri" w:eastAsia="Times New Roman" w:hAnsi="Calibri" w:cs="Calibri"/>
                <w:color w:val="000000"/>
              </w:rPr>
            </w:pPr>
            <w:r w:rsidRPr="000325FA">
              <w:rPr>
                <w:rFonts w:ascii="Calibri" w:eastAsia="Times New Roman" w:hAnsi="Calibri" w:cs="Calibri"/>
                <w:color w:val="000000"/>
              </w:rPr>
              <w:t>1</w:t>
            </w:r>
          </w:p>
        </w:tc>
      </w:tr>
      <w:tr w:rsidR="005537AE" w:rsidRPr="000325FA" w:rsidTr="00250492">
        <w:trPr>
          <w:trHeight w:val="300"/>
        </w:trPr>
        <w:tc>
          <w:tcPr>
            <w:tcW w:w="2419" w:type="pct"/>
            <w:tcBorders>
              <w:top w:val="single" w:sz="4" w:space="0" w:color="95B3D7"/>
              <w:left w:val="single" w:sz="4" w:space="0" w:color="auto"/>
              <w:bottom w:val="single" w:sz="4" w:space="0" w:color="auto"/>
              <w:right w:val="nil"/>
            </w:tcBorders>
            <w:shd w:val="clear" w:color="DCE6F1" w:fill="DCE6F1"/>
            <w:noWrap/>
            <w:vAlign w:val="bottom"/>
            <w:hideMark/>
          </w:tcPr>
          <w:p w:rsidR="005537AE" w:rsidRPr="000325FA" w:rsidRDefault="005537AE" w:rsidP="00250492">
            <w:pPr>
              <w:spacing w:after="0" w:line="240" w:lineRule="auto"/>
              <w:rPr>
                <w:rFonts w:ascii="Calibri" w:eastAsia="Times New Roman" w:hAnsi="Calibri" w:cs="Calibri"/>
                <w:b/>
                <w:bCs/>
                <w:color w:val="000000"/>
              </w:rPr>
            </w:pPr>
            <w:r w:rsidRPr="000325FA">
              <w:rPr>
                <w:rFonts w:ascii="Calibri" w:eastAsia="Times New Roman" w:hAnsi="Calibri" w:cs="Calibri"/>
                <w:b/>
                <w:bCs/>
                <w:color w:val="000000"/>
              </w:rPr>
              <w:t>Total</w:t>
            </w:r>
          </w:p>
        </w:tc>
        <w:tc>
          <w:tcPr>
            <w:tcW w:w="2581" w:type="pct"/>
            <w:tcBorders>
              <w:top w:val="single" w:sz="4" w:space="0" w:color="95B3D7"/>
              <w:left w:val="nil"/>
              <w:bottom w:val="single" w:sz="4" w:space="0" w:color="auto"/>
              <w:right w:val="single" w:sz="4" w:space="0" w:color="auto"/>
            </w:tcBorders>
            <w:shd w:val="clear" w:color="DCE6F1" w:fill="DCE6F1"/>
            <w:noWrap/>
            <w:vAlign w:val="bottom"/>
            <w:hideMark/>
          </w:tcPr>
          <w:p w:rsidR="005537AE" w:rsidRPr="000325FA" w:rsidRDefault="005537AE" w:rsidP="00250492">
            <w:pPr>
              <w:spacing w:after="0" w:line="240" w:lineRule="auto"/>
              <w:jc w:val="right"/>
              <w:rPr>
                <w:rFonts w:ascii="Calibri" w:eastAsia="Times New Roman" w:hAnsi="Calibri" w:cs="Calibri"/>
                <w:b/>
                <w:bCs/>
                <w:color w:val="000000"/>
              </w:rPr>
            </w:pPr>
            <w:r w:rsidRPr="000325FA">
              <w:rPr>
                <w:rFonts w:ascii="Calibri" w:eastAsia="Times New Roman" w:hAnsi="Calibri" w:cs="Calibri"/>
                <w:b/>
                <w:bCs/>
                <w:color w:val="000000"/>
              </w:rPr>
              <w:t>1310</w:t>
            </w:r>
          </w:p>
        </w:tc>
      </w:tr>
    </w:tbl>
    <w:p w:rsidR="005537AE" w:rsidRDefault="005537AE" w:rsidP="005E4040">
      <w:pPr>
        <w:rPr>
          <w:rFonts w:ascii="Times New Roman" w:hAnsi="Times New Roman" w:cs="Times New Roman"/>
          <w:b/>
          <w:sz w:val="24"/>
          <w:szCs w:val="24"/>
        </w:rPr>
      </w:pPr>
      <w:bookmarkStart w:id="0" w:name="_GoBack"/>
      <w:bookmarkEnd w:id="0"/>
    </w:p>
    <w:p w:rsidR="005537AE" w:rsidRPr="00D11B50" w:rsidRDefault="005537AE" w:rsidP="005537AE">
      <w:pPr>
        <w:jc w:val="center"/>
        <w:rPr>
          <w:rFonts w:ascii="Times New Roman" w:hAnsi="Times New Roman" w:cs="Times New Roman"/>
          <w:b/>
          <w:sz w:val="24"/>
          <w:szCs w:val="24"/>
        </w:rPr>
      </w:pPr>
      <w:r w:rsidRPr="00D11B50">
        <w:rPr>
          <w:rFonts w:ascii="Times New Roman" w:hAnsi="Times New Roman" w:cs="Times New Roman"/>
          <w:b/>
          <w:sz w:val="24"/>
          <w:szCs w:val="24"/>
        </w:rPr>
        <w:t>Children as a percentage of civilian casualties for which the age was known</w:t>
      </w:r>
    </w:p>
    <w:p w:rsidR="005537AE" w:rsidRDefault="005537AE" w:rsidP="005537AE">
      <w:pPr>
        <w:jc w:val="cente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4000500" cy="240473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12867" cy="2412167"/>
                    </a:xfrm>
                    <a:prstGeom prst="rect">
                      <a:avLst/>
                    </a:prstGeom>
                    <a:noFill/>
                  </pic:spPr>
                </pic:pic>
              </a:graphicData>
            </a:graphic>
          </wp:inline>
        </w:drawing>
      </w:r>
    </w:p>
    <w:p w:rsidR="005537AE" w:rsidRPr="002D55B2" w:rsidRDefault="005537AE" w:rsidP="005537AE">
      <w:pPr>
        <w:rPr>
          <w:rFonts w:ascii="Times New Roman" w:hAnsi="Times New Roman" w:cs="Times New Roman"/>
          <w:color w:val="000000" w:themeColor="text1"/>
          <w:sz w:val="24"/>
          <w:szCs w:val="24"/>
        </w:rPr>
      </w:pPr>
      <w:r w:rsidRPr="002D55B2">
        <w:rPr>
          <w:rFonts w:ascii="Times New Roman" w:hAnsi="Times New Roman" w:cs="Times New Roman"/>
          <w:color w:val="000000" w:themeColor="text1"/>
          <w:sz w:val="24"/>
          <w:szCs w:val="24"/>
        </w:rPr>
        <w:t xml:space="preserve">For </w:t>
      </w:r>
      <w:r w:rsidRPr="00D11B50">
        <w:rPr>
          <w:rFonts w:ascii="Times New Roman" w:hAnsi="Times New Roman" w:cs="Times New Roman"/>
          <w:b/>
          <w:color w:val="000000" w:themeColor="text1"/>
          <w:sz w:val="24"/>
          <w:szCs w:val="24"/>
        </w:rPr>
        <w:t>Afghanistan</w:t>
      </w:r>
      <w:r w:rsidRPr="002D55B2">
        <w:rPr>
          <w:rFonts w:ascii="Times New Roman" w:hAnsi="Times New Roman" w:cs="Times New Roman"/>
          <w:color w:val="000000" w:themeColor="text1"/>
          <w:sz w:val="24"/>
          <w:szCs w:val="24"/>
        </w:rPr>
        <w:t xml:space="preserve"> UNAMA categorizes IEDs by the basic method used to initiate detonation, including victim-activated IEDs, remote control/radio/command-operated IEDs, and suicide IEDs. The most common victim-activated IEDs in </w:t>
      </w:r>
      <w:r w:rsidRPr="00D11B50">
        <w:rPr>
          <w:rFonts w:ascii="Times New Roman" w:hAnsi="Times New Roman" w:cs="Times New Roman"/>
          <w:b/>
          <w:color w:val="000000" w:themeColor="text1"/>
          <w:sz w:val="24"/>
          <w:szCs w:val="24"/>
        </w:rPr>
        <w:t>Afghanistan</w:t>
      </w:r>
      <w:r w:rsidRPr="002D55B2">
        <w:rPr>
          <w:rFonts w:ascii="Times New Roman" w:hAnsi="Times New Roman" w:cs="Times New Roman"/>
          <w:color w:val="000000" w:themeColor="text1"/>
          <w:sz w:val="24"/>
          <w:szCs w:val="24"/>
        </w:rPr>
        <w:t xml:space="preserve"> are pressure plate IEDs, which are improvised landmines</w:t>
      </w:r>
      <w:r>
        <w:rPr>
          <w:rFonts w:ascii="Times New Roman" w:hAnsi="Times New Roman" w:cs="Times New Roman"/>
          <w:color w:val="000000" w:themeColor="text1"/>
          <w:sz w:val="24"/>
          <w:szCs w:val="24"/>
        </w:rPr>
        <w:t>.</w:t>
      </w:r>
    </w:p>
    <w:p w:rsidR="005537AE" w:rsidRPr="000325FA" w:rsidRDefault="005537AE" w:rsidP="005537AE">
      <w:pPr>
        <w:jc w:val="both"/>
        <w:rPr>
          <w:rFonts w:ascii="Times New Roman" w:hAnsi="Times New Roman" w:cs="Times New Roman"/>
          <w:b/>
          <w:sz w:val="24"/>
          <w:szCs w:val="24"/>
        </w:rPr>
      </w:pPr>
      <w:r w:rsidRPr="000325FA">
        <w:rPr>
          <w:rFonts w:ascii="Times New Roman" w:hAnsi="Times New Roman" w:cs="Times New Roman"/>
          <w:b/>
          <w:sz w:val="24"/>
          <w:szCs w:val="24"/>
        </w:rPr>
        <w:t>Victim assistance</w:t>
      </w:r>
    </w:p>
    <w:p w:rsidR="005537AE" w:rsidRDefault="005537AE" w:rsidP="005537AE">
      <w:pPr>
        <w:jc w:val="both"/>
        <w:rPr>
          <w:rFonts w:ascii="Times New Roman" w:hAnsi="Times New Roman" w:cs="Times New Roman"/>
          <w:sz w:val="24"/>
          <w:szCs w:val="24"/>
        </w:rPr>
      </w:pPr>
      <w:r w:rsidRPr="00384E46">
        <w:rPr>
          <w:rFonts w:ascii="Times New Roman" w:hAnsi="Times New Roman" w:cs="Times New Roman"/>
          <w:sz w:val="24"/>
          <w:szCs w:val="24"/>
        </w:rPr>
        <w:t>The national bodies in charge of coordinating victim assistance collaborated with those in charge of coordinating disability rights</w:t>
      </w:r>
      <w:r>
        <w:rPr>
          <w:rFonts w:ascii="Times New Roman" w:hAnsi="Times New Roman" w:cs="Times New Roman"/>
          <w:sz w:val="24"/>
          <w:szCs w:val="24"/>
        </w:rPr>
        <w:t>.</w:t>
      </w:r>
    </w:p>
    <w:p w:rsidR="00B924B4" w:rsidRDefault="005537AE" w:rsidP="005537AE">
      <w:pPr>
        <w:jc w:val="both"/>
        <w:rPr>
          <w:rFonts w:ascii="Times New Roman" w:hAnsi="Times New Roman" w:cs="Times New Roman"/>
          <w:color w:val="000000" w:themeColor="text1"/>
          <w:sz w:val="24"/>
          <w:szCs w:val="24"/>
        </w:rPr>
      </w:pPr>
      <w:r w:rsidRPr="002D55B2">
        <w:rPr>
          <w:rFonts w:ascii="Times New Roman" w:hAnsi="Times New Roman" w:cs="Times New Roman"/>
          <w:color w:val="000000" w:themeColor="text1"/>
          <w:sz w:val="24"/>
          <w:szCs w:val="24"/>
        </w:rPr>
        <w:t xml:space="preserve">A new National Disability Action Plan for </w:t>
      </w:r>
      <w:r w:rsidRPr="00D11B50">
        <w:rPr>
          <w:rFonts w:ascii="Times New Roman" w:hAnsi="Times New Roman" w:cs="Times New Roman"/>
          <w:b/>
          <w:color w:val="000000" w:themeColor="text1"/>
          <w:sz w:val="24"/>
          <w:szCs w:val="24"/>
        </w:rPr>
        <w:t>Afghanistan</w:t>
      </w:r>
      <w:r w:rsidRPr="002D55B2">
        <w:rPr>
          <w:rFonts w:ascii="Times New Roman" w:hAnsi="Times New Roman" w:cs="Times New Roman"/>
          <w:color w:val="000000" w:themeColor="text1"/>
          <w:sz w:val="24"/>
          <w:szCs w:val="24"/>
        </w:rPr>
        <w:t xml:space="preserve"> remained pending, but was under development.</w:t>
      </w:r>
    </w:p>
    <w:p w:rsidR="00B924B4" w:rsidRPr="002D55B2" w:rsidRDefault="00B924B4" w:rsidP="005537AE">
      <w:pPr>
        <w:jc w:val="both"/>
        <w:rPr>
          <w:rFonts w:ascii="Times New Roman" w:hAnsi="Times New Roman" w:cs="Times New Roman"/>
          <w:color w:val="000000" w:themeColor="text1"/>
          <w:sz w:val="24"/>
          <w:szCs w:val="24"/>
        </w:rPr>
      </w:pPr>
      <w:r w:rsidRPr="00B924B4">
        <w:rPr>
          <w:rFonts w:ascii="Times New Roman" w:hAnsi="Times New Roman" w:cs="Times New Roman"/>
          <w:color w:val="000000" w:themeColor="text1"/>
          <w:sz w:val="24"/>
          <w:szCs w:val="24"/>
        </w:rPr>
        <w:t xml:space="preserve">A lack of funding was reported to have reduced services in </w:t>
      </w:r>
      <w:r w:rsidRPr="00B924B4">
        <w:rPr>
          <w:rFonts w:ascii="Times New Roman" w:hAnsi="Times New Roman" w:cs="Times New Roman"/>
          <w:b/>
          <w:color w:val="000000" w:themeColor="text1"/>
          <w:sz w:val="24"/>
          <w:szCs w:val="24"/>
        </w:rPr>
        <w:t>Afghanistan.</w:t>
      </w:r>
    </w:p>
    <w:p w:rsidR="005537AE" w:rsidRPr="00384E46" w:rsidRDefault="005537AE" w:rsidP="005537AE">
      <w:pPr>
        <w:pStyle w:val="Heading3"/>
        <w:spacing w:before="0"/>
        <w:rPr>
          <w:rFonts w:cs="Times New Roman"/>
          <w:i w:val="0"/>
          <w:szCs w:val="24"/>
        </w:rPr>
      </w:pPr>
      <w:r w:rsidRPr="00384E46">
        <w:rPr>
          <w:rFonts w:cs="Times New Roman"/>
          <w:i w:val="0"/>
          <w:szCs w:val="24"/>
        </w:rPr>
        <w:t>Summary victim assistance action points based on findings</w:t>
      </w:r>
    </w:p>
    <w:p w:rsidR="005537AE" w:rsidRPr="00384E46" w:rsidRDefault="005537AE" w:rsidP="005537AE">
      <w:pPr>
        <w:pStyle w:val="ListParagraph"/>
        <w:numPr>
          <w:ilvl w:val="0"/>
          <w:numId w:val="1"/>
        </w:numPr>
        <w:spacing w:before="0"/>
        <w:rPr>
          <w:rFonts w:cs="Times New Roman"/>
          <w:b/>
          <w:color w:val="000000" w:themeColor="text1"/>
          <w:szCs w:val="24"/>
        </w:rPr>
      </w:pPr>
      <w:r w:rsidRPr="00384E46">
        <w:rPr>
          <w:rFonts w:cs="Times New Roman"/>
          <w:color w:val="000000" w:themeColor="text1"/>
          <w:szCs w:val="24"/>
        </w:rPr>
        <w:t xml:space="preserve">Develop, adopt, and implement a national disability plan that includes objectives </w:t>
      </w:r>
      <w:r w:rsidRPr="00384E46">
        <w:rPr>
          <w:rFonts w:cs="Times New Roman"/>
          <w:szCs w:val="24"/>
        </w:rPr>
        <w:t>that respond to the needs of survivors</w:t>
      </w:r>
      <w:r w:rsidRPr="00384E46">
        <w:rPr>
          <w:rFonts w:cs="Times New Roman"/>
          <w:color w:val="000000" w:themeColor="text1"/>
          <w:szCs w:val="24"/>
        </w:rPr>
        <w:t xml:space="preserve"> and recognizes its victim assistance obligations and commitments, together with a monitoring structure.</w:t>
      </w:r>
    </w:p>
    <w:p w:rsidR="005537AE" w:rsidRPr="00384E46" w:rsidRDefault="005537AE" w:rsidP="005537AE">
      <w:pPr>
        <w:pStyle w:val="ListParagraph"/>
        <w:numPr>
          <w:ilvl w:val="0"/>
          <w:numId w:val="1"/>
        </w:numPr>
        <w:spacing w:before="0"/>
        <w:rPr>
          <w:rFonts w:cs="Times New Roman"/>
          <w:b/>
          <w:color w:val="000000" w:themeColor="text1"/>
          <w:szCs w:val="24"/>
        </w:rPr>
      </w:pPr>
      <w:r w:rsidRPr="00384E46">
        <w:rPr>
          <w:rFonts w:cs="Times New Roman"/>
          <w:color w:val="000000" w:themeColor="text1"/>
          <w:szCs w:val="24"/>
        </w:rPr>
        <w:t>Expand access to physical rehabilitation needs, particularly in Bamyan and provinces lacking services or where traveling to receive rehabilitation is difficult for survivors.</w:t>
      </w:r>
    </w:p>
    <w:p w:rsidR="005537AE" w:rsidRPr="00384E46" w:rsidRDefault="005537AE" w:rsidP="005537AE">
      <w:pPr>
        <w:pStyle w:val="ListParagraph"/>
        <w:numPr>
          <w:ilvl w:val="0"/>
          <w:numId w:val="1"/>
        </w:numPr>
        <w:spacing w:before="0"/>
        <w:rPr>
          <w:rFonts w:cs="Times New Roman"/>
          <w:b/>
          <w:color w:val="000000"/>
          <w:szCs w:val="24"/>
        </w:rPr>
      </w:pPr>
      <w:r w:rsidRPr="00384E46">
        <w:rPr>
          <w:rFonts w:cs="Times New Roman"/>
          <w:color w:val="000000"/>
          <w:szCs w:val="24"/>
        </w:rPr>
        <w:t>Ensure that meaningful participation of survivors is increased at all levels.</w:t>
      </w:r>
    </w:p>
    <w:p w:rsidR="005537AE" w:rsidRPr="00384E46" w:rsidRDefault="005537AE" w:rsidP="005537AE">
      <w:pPr>
        <w:pStyle w:val="ListParagraph"/>
        <w:numPr>
          <w:ilvl w:val="0"/>
          <w:numId w:val="1"/>
        </w:numPr>
        <w:spacing w:before="0"/>
        <w:rPr>
          <w:rFonts w:cs="Times New Roman"/>
          <w:b/>
          <w:color w:val="000000" w:themeColor="text1"/>
          <w:szCs w:val="24"/>
        </w:rPr>
      </w:pPr>
      <w:r w:rsidRPr="00384E46">
        <w:rPr>
          <w:rFonts w:cs="Times New Roman"/>
          <w:color w:val="000000" w:themeColor="text1"/>
          <w:szCs w:val="24"/>
        </w:rPr>
        <w:t>Prioritize physical accessibility, particularly for services and for government buildings.</w:t>
      </w:r>
    </w:p>
    <w:p w:rsidR="005537AE" w:rsidRPr="00384E46" w:rsidRDefault="005537AE" w:rsidP="005537AE">
      <w:pPr>
        <w:pStyle w:val="ListParagraph"/>
        <w:numPr>
          <w:ilvl w:val="0"/>
          <w:numId w:val="1"/>
        </w:numPr>
        <w:spacing w:before="0"/>
        <w:rPr>
          <w:rFonts w:cs="Times New Roman"/>
          <w:b/>
          <w:color w:val="000000" w:themeColor="text1"/>
          <w:szCs w:val="24"/>
        </w:rPr>
      </w:pPr>
      <w:r w:rsidRPr="00384E46">
        <w:rPr>
          <w:rFonts w:cs="Times New Roman"/>
          <w:color w:val="000000" w:themeColor="text1"/>
          <w:szCs w:val="24"/>
        </w:rPr>
        <w:t>Provide psychosocial and psychological support, including peer support in particular to new survivors as well as those who have been traumatized and live in isolation</w:t>
      </w:r>
      <w:r w:rsidRPr="00384E46">
        <w:rPr>
          <w:rFonts w:cs="Times New Roman"/>
          <w:b/>
          <w:color w:val="000000" w:themeColor="text1"/>
          <w:szCs w:val="24"/>
        </w:rPr>
        <w:t>.</w:t>
      </w:r>
    </w:p>
    <w:p w:rsidR="005537AE" w:rsidRPr="00384E46" w:rsidRDefault="005537AE">
      <w:pPr>
        <w:rPr>
          <w:rFonts w:ascii="Times New Roman" w:hAnsi="Times New Roman" w:cs="Times New Roman"/>
          <w:sz w:val="24"/>
          <w:szCs w:val="24"/>
        </w:rPr>
      </w:pPr>
    </w:p>
    <w:sectPr w:rsidR="005537AE" w:rsidRPr="00384E46" w:rsidSect="009A139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1391" w:rsidRDefault="00781391" w:rsidP="00C30DB2">
      <w:pPr>
        <w:spacing w:after="0" w:line="240" w:lineRule="auto"/>
      </w:pPr>
      <w:r>
        <w:separator/>
      </w:r>
    </w:p>
  </w:endnote>
  <w:endnote w:type="continuationSeparator" w:id="1">
    <w:p w:rsidR="00781391" w:rsidRDefault="00781391" w:rsidP="00C30D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1391" w:rsidRDefault="00781391" w:rsidP="00C30DB2">
      <w:pPr>
        <w:spacing w:after="0" w:line="240" w:lineRule="auto"/>
      </w:pPr>
      <w:r>
        <w:separator/>
      </w:r>
    </w:p>
  </w:footnote>
  <w:footnote w:type="continuationSeparator" w:id="1">
    <w:p w:rsidR="00781391" w:rsidRDefault="00781391" w:rsidP="00C30DB2">
      <w:pPr>
        <w:spacing w:after="0" w:line="240" w:lineRule="auto"/>
      </w:pPr>
      <w:r>
        <w:continuationSeparator/>
      </w:r>
    </w:p>
  </w:footnote>
  <w:footnote w:id="2">
    <w:p w:rsidR="00C30DB2" w:rsidRPr="00BD04A4" w:rsidRDefault="00C30DB2" w:rsidP="00C30DB2">
      <w:pPr>
        <w:pStyle w:val="FootnoteText"/>
        <w:spacing w:before="100"/>
        <w:rPr>
          <w:rFonts w:cs="Times New Roman"/>
        </w:rPr>
      </w:pPr>
      <w:r w:rsidRPr="00BD04A4">
        <w:rPr>
          <w:rStyle w:val="FootnoteReference"/>
          <w:rFonts w:cs="Times New Roman"/>
        </w:rPr>
        <w:footnoteRef/>
      </w:r>
      <w:r w:rsidRPr="00BD04A4">
        <w:rPr>
          <w:rFonts w:cs="Times New Roman"/>
        </w:rPr>
        <w:t xml:space="preserve"> See below for details on use in Afghanistan, Colombia, Iraq, Libya, Myanmar, Nigeria, Pakistan, Syria, Ukraine, and Yemen.</w:t>
      </w:r>
    </w:p>
  </w:footnote>
  <w:footnote w:id="3">
    <w:p w:rsidR="00C30DB2" w:rsidRPr="00BD04A4" w:rsidRDefault="00C30DB2" w:rsidP="00C30DB2">
      <w:pPr>
        <w:pStyle w:val="FootnoteText"/>
        <w:spacing w:before="100"/>
        <w:rPr>
          <w:rFonts w:cs="Times New Roman"/>
        </w:rPr>
      </w:pPr>
      <w:r w:rsidRPr="00BD04A4">
        <w:rPr>
          <w:rStyle w:val="FootnoteReference"/>
          <w:rFonts w:cs="Times New Roman"/>
        </w:rPr>
        <w:footnoteRef/>
      </w:r>
      <w:r w:rsidRPr="00BD04A4">
        <w:rPr>
          <w:rFonts w:cs="Times New Roman"/>
        </w:rPr>
        <w:t xml:space="preserve"> UNAMA, “Afghanistan Mid-year Report 2016 Protection of Civilians in Armed Conflict,” Kabul, September 2016, pp. 49–50, </w:t>
      </w:r>
      <w:hyperlink r:id="rId1" w:history="1">
        <w:r w:rsidRPr="00BD04A4">
          <w:rPr>
            <w:rStyle w:val="Hyperlink"/>
            <w:rFonts w:cs="Times New Roman"/>
          </w:rPr>
          <w:t>bit.ly/UNAMA2016midyear</w:t>
        </w:r>
      </w:hyperlink>
      <w:r w:rsidRPr="00BD04A4">
        <w:rPr>
          <w:rFonts w:cs="Times New Roman"/>
        </w:rPr>
        <w:t>. Although overall casualty numbers decreased, pressure-plate IEDs caused 48% of civilian casualties from IEDs in the first half of 2016 compared to 46% in the first half of 2015.</w:t>
      </w:r>
    </w:p>
  </w:footnote>
  <w:footnote w:id="4">
    <w:p w:rsidR="00C30DB2" w:rsidRPr="00BD04A4" w:rsidRDefault="00C30DB2" w:rsidP="00C30DB2">
      <w:pPr>
        <w:pStyle w:val="FootnoteText"/>
        <w:spacing w:before="100"/>
        <w:rPr>
          <w:rFonts w:cs="Times New Roman"/>
        </w:rPr>
      </w:pPr>
      <w:r w:rsidRPr="00BD04A4">
        <w:rPr>
          <w:rStyle w:val="FootnoteReference"/>
          <w:rFonts w:cs="Times New Roman"/>
        </w:rPr>
        <w:footnoteRef/>
      </w:r>
      <w:r>
        <w:t>A</w:t>
      </w:r>
      <w:r w:rsidRPr="00C82372">
        <w:t xml:space="preserve"> total of at least 12 States Parties retain antipersonnel mines in this condition</w:t>
      </w:r>
      <w:r w:rsidRPr="00BD04A4">
        <w:rPr>
          <w:rFonts w:cs="Times New Roman"/>
        </w:rPr>
        <w:t xml:space="preserve"> Afghanistan, Australia, BiH, Canada, Eritrea, France, Gambia, Germany, Lithuania, Mozambique, Senegal, and Serbia.</w:t>
      </w:r>
    </w:p>
  </w:footnote>
  <w:footnote w:id="5">
    <w:p w:rsidR="00076460" w:rsidRPr="00640973" w:rsidRDefault="00076460" w:rsidP="00076460">
      <w:pPr>
        <w:pStyle w:val="FootnoteText"/>
        <w:spacing w:before="100"/>
        <w:rPr>
          <w:rFonts w:cs="Times New Roman"/>
        </w:rPr>
      </w:pPr>
      <w:r w:rsidRPr="00640973">
        <w:rPr>
          <w:rStyle w:val="FootnoteReference"/>
          <w:rFonts w:cs="Times New Roman"/>
        </w:rPr>
        <w:footnoteRef/>
      </w:r>
      <w:r w:rsidRPr="00640973">
        <w:rPr>
          <w:rFonts w:cs="Times New Roman"/>
        </w:rPr>
        <w:t xml:space="preserve"> Email from MACCA, 1 May 2016.</w:t>
      </w:r>
    </w:p>
  </w:footnote>
  <w:footnote w:id="6">
    <w:p w:rsidR="00076460" w:rsidRPr="00640973" w:rsidRDefault="00076460" w:rsidP="00076460">
      <w:pPr>
        <w:pStyle w:val="FootnoteText"/>
        <w:spacing w:before="100"/>
        <w:rPr>
          <w:rFonts w:cs="Times New Roman"/>
        </w:rPr>
      </w:pPr>
      <w:r w:rsidRPr="00640973">
        <w:rPr>
          <w:rStyle w:val="FootnoteReference"/>
          <w:rFonts w:cs="Times New Roman"/>
        </w:rPr>
        <w:footnoteRef/>
      </w:r>
      <w:r w:rsidRPr="00640973">
        <w:rPr>
          <w:rFonts w:cs="Times New Roman"/>
        </w:rPr>
        <w:t xml:space="preserve"> Email from the Mine Action Coordination Centre for Afghanistan (MACCA), 1 May 2016.</w:t>
      </w:r>
    </w:p>
  </w:footnote>
  <w:footnote w:id="7">
    <w:p w:rsidR="004A401F" w:rsidRPr="00640973" w:rsidRDefault="004A401F" w:rsidP="004A401F">
      <w:pPr>
        <w:pStyle w:val="FootnoteText"/>
        <w:spacing w:before="100"/>
        <w:rPr>
          <w:rFonts w:cs="Times New Roman"/>
        </w:rPr>
      </w:pPr>
      <w:r w:rsidRPr="00640973">
        <w:rPr>
          <w:rStyle w:val="FootnoteReference"/>
          <w:rFonts w:cs="Times New Roman"/>
        </w:rPr>
        <w:footnoteRef/>
      </w:r>
      <w:r w:rsidRPr="00640973">
        <w:rPr>
          <w:rFonts w:cs="Times New Roman"/>
        </w:rPr>
        <w:t xml:space="preserve"> Email from the MACCA, 1 May 2016.</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F97892"/>
    <w:multiLevelType w:val="hybridMultilevel"/>
    <w:tmpl w:val="E1505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C30DB2"/>
    <w:rsid w:val="00030F9A"/>
    <w:rsid w:val="000325FA"/>
    <w:rsid w:val="00076460"/>
    <w:rsid w:val="00246FB6"/>
    <w:rsid w:val="002D55B2"/>
    <w:rsid w:val="00384E46"/>
    <w:rsid w:val="003C6C7B"/>
    <w:rsid w:val="004A401F"/>
    <w:rsid w:val="004B2DFA"/>
    <w:rsid w:val="005537AE"/>
    <w:rsid w:val="005E4040"/>
    <w:rsid w:val="006A1C9C"/>
    <w:rsid w:val="00781391"/>
    <w:rsid w:val="00791045"/>
    <w:rsid w:val="00830799"/>
    <w:rsid w:val="008E275A"/>
    <w:rsid w:val="00990298"/>
    <w:rsid w:val="009A1397"/>
    <w:rsid w:val="00A0199B"/>
    <w:rsid w:val="00B924B4"/>
    <w:rsid w:val="00C30DB2"/>
    <w:rsid w:val="00D11B50"/>
    <w:rsid w:val="00D86C2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1397"/>
  </w:style>
  <w:style w:type="paragraph" w:styleId="Heading3">
    <w:name w:val="heading 3"/>
    <w:basedOn w:val="Normal"/>
    <w:next w:val="Normal"/>
    <w:link w:val="Heading3Char"/>
    <w:uiPriority w:val="9"/>
    <w:unhideWhenUsed/>
    <w:qFormat/>
    <w:rsid w:val="00384E46"/>
    <w:pPr>
      <w:keepNext/>
      <w:keepLines/>
      <w:spacing w:before="200" w:after="0" w:line="240" w:lineRule="auto"/>
      <w:jc w:val="both"/>
      <w:outlineLvl w:val="2"/>
    </w:pPr>
    <w:rPr>
      <w:rFonts w:ascii="Times New Roman" w:eastAsiaTheme="majorEastAsia" w:hAnsi="Times New Roman" w:cstheme="majorBidi"/>
      <w:b/>
      <w:bCs/>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Footnote Reference Char Char Char Char Char Char Char Char Char Char Char, Carattere Char Carattere Carattere Char Carattere Char Carattere Char Char Char1 Char Char Char Char Char Char Char Char Char Char Char Char Char Char,ftref"/>
    <w:qFormat/>
    <w:rsid w:val="00C30DB2"/>
    <w:rPr>
      <w:vertAlign w:val="superscript"/>
    </w:rPr>
  </w:style>
  <w:style w:type="paragraph" w:styleId="FootnoteText">
    <w:name w:val="footnote text"/>
    <w:aliases w:val="LM Footnote,LM Note de bas de page,Note de bas de page LM,LM footnote,Footnote Text LM,LM fo... Char Char,Footnote Text1,LM Footnote1,LM Note de bas de page1,Note de bas de page LM1,LM footnote1 Char Char,LM fo... Char,Footnote Text LM Car"/>
    <w:basedOn w:val="Normal"/>
    <w:link w:val="FootnoteTextChar"/>
    <w:uiPriority w:val="99"/>
    <w:rsid w:val="00C30DB2"/>
    <w:pPr>
      <w:suppressAutoHyphens/>
      <w:spacing w:after="0" w:line="240" w:lineRule="auto"/>
    </w:pPr>
    <w:rPr>
      <w:rFonts w:ascii="Times New Roman" w:eastAsia="Times New Roman" w:hAnsi="Times New Roman" w:cs="Calibri"/>
      <w:sz w:val="20"/>
      <w:szCs w:val="20"/>
      <w:lang w:eastAsia="ar-SA"/>
    </w:rPr>
  </w:style>
  <w:style w:type="character" w:customStyle="1" w:styleId="FootnoteTextChar">
    <w:name w:val="Footnote Text Char"/>
    <w:aliases w:val="LM Footnote Char,LM Note de bas de page Char,Note de bas de page LM Char,LM footnote Char,Footnote Text LM Char,LM fo... Char Char Char,Footnote Text1 Char,LM Footnote1 Char,LM Note de bas de page1 Char,Note de bas de page LM1 Char"/>
    <w:basedOn w:val="DefaultParagraphFont"/>
    <w:link w:val="FootnoteText"/>
    <w:uiPriority w:val="99"/>
    <w:rsid w:val="00C30DB2"/>
    <w:rPr>
      <w:rFonts w:ascii="Times New Roman" w:eastAsia="Times New Roman" w:hAnsi="Times New Roman" w:cs="Calibri"/>
      <w:sz w:val="20"/>
      <w:szCs w:val="20"/>
      <w:lang w:eastAsia="ar-SA"/>
    </w:rPr>
  </w:style>
  <w:style w:type="character" w:styleId="Hyperlink">
    <w:name w:val="Hyperlink"/>
    <w:uiPriority w:val="99"/>
    <w:unhideWhenUsed/>
    <w:qFormat/>
    <w:rsid w:val="00C30DB2"/>
    <w:rPr>
      <w:color w:val="0000FF"/>
      <w:u w:val="single"/>
    </w:rPr>
  </w:style>
  <w:style w:type="table" w:styleId="TableGrid">
    <w:name w:val="Table Grid"/>
    <w:basedOn w:val="TableNormal"/>
    <w:uiPriority w:val="39"/>
    <w:rsid w:val="00C30DB2"/>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39"/>
    <w:rsid w:val="00C30D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384E46"/>
    <w:rPr>
      <w:rFonts w:ascii="Times New Roman" w:eastAsiaTheme="majorEastAsia" w:hAnsi="Times New Roman" w:cstheme="majorBidi"/>
      <w:b/>
      <w:bCs/>
      <w:i/>
      <w:sz w:val="24"/>
    </w:rPr>
  </w:style>
  <w:style w:type="paragraph" w:styleId="ListParagraph">
    <w:name w:val="List Paragraph"/>
    <w:basedOn w:val="Normal"/>
    <w:qFormat/>
    <w:rsid w:val="00384E46"/>
    <w:pPr>
      <w:spacing w:before="100" w:after="0" w:line="240" w:lineRule="auto"/>
      <w:ind w:left="720"/>
      <w:contextualSpacing/>
      <w:jc w:val="both"/>
    </w:pPr>
    <w:rPr>
      <w:rFonts w:ascii="Times New Roman" w:hAnsi="Times New Roman"/>
      <w:sz w:val="24"/>
    </w:rPr>
  </w:style>
  <w:style w:type="paragraph" w:styleId="BalloonText">
    <w:name w:val="Balloon Text"/>
    <w:basedOn w:val="Normal"/>
    <w:link w:val="BalloonTextChar"/>
    <w:uiPriority w:val="99"/>
    <w:semiHidden/>
    <w:unhideWhenUsed/>
    <w:rsid w:val="00246F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6FB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26824605">
      <w:bodyDiv w:val="1"/>
      <w:marLeft w:val="0"/>
      <w:marRight w:val="0"/>
      <w:marTop w:val="0"/>
      <w:marBottom w:val="0"/>
      <w:divBdr>
        <w:top w:val="none" w:sz="0" w:space="0" w:color="auto"/>
        <w:left w:val="none" w:sz="0" w:space="0" w:color="auto"/>
        <w:bottom w:val="none" w:sz="0" w:space="0" w:color="auto"/>
        <w:right w:val="none" w:sz="0" w:space="0" w:color="auto"/>
      </w:divBdr>
    </w:div>
    <w:div w:id="1062293349">
      <w:bodyDiv w:val="1"/>
      <w:marLeft w:val="0"/>
      <w:marRight w:val="0"/>
      <w:marTop w:val="0"/>
      <w:marBottom w:val="0"/>
      <w:divBdr>
        <w:top w:val="none" w:sz="0" w:space="0" w:color="auto"/>
        <w:left w:val="none" w:sz="0" w:space="0" w:color="auto"/>
        <w:bottom w:val="none" w:sz="0" w:space="0" w:color="auto"/>
        <w:right w:val="none" w:sz="0" w:space="0" w:color="auto"/>
      </w:divBdr>
    </w:div>
    <w:div w:id="1083912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bit.ly/UNAMA2016midye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865</Words>
  <Characters>4935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SolarSys</Company>
  <LinksUpToDate>false</LinksUpToDate>
  <CharactersWithSpaces>5789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Loren Persi</dc:creator>
  <cp:lastModifiedBy>ALSO</cp:lastModifiedBy>
  <cp:revision>2</cp:revision>
  <dcterms:created xsi:type="dcterms:W3CDTF">2016-11-22T04:40:00Z</dcterms:created>
  <dcterms:modified xsi:type="dcterms:W3CDTF">2016-11-22T04:40:00Z</dcterms:modified>
</cp:coreProperties>
</file>